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0425182"/>
        <w:docPartObj>
          <w:docPartGallery w:val="Cover Pages"/>
          <w:docPartUnique/>
        </w:docPartObj>
      </w:sdtPr>
      <w:sdtEndPr>
        <w:rPr>
          <w:rFonts w:ascii="Times New Roman" w:eastAsia="Times New Roman" w:hAnsi="Times New Roman" w:cs="Times New Roman"/>
          <w:bCs/>
          <w:sz w:val="24"/>
          <w:szCs w:val="24"/>
        </w:rPr>
      </w:sdtEndPr>
      <w:sdtContent>
        <w:p w14:paraId="21D53F42" w14:textId="77777777" w:rsidR="00CD1CC6" w:rsidRDefault="007D532B">
          <w:r>
            <w:rPr>
              <w:noProof/>
              <w:lang w:val="fr-CA" w:eastAsia="fr-CA"/>
            </w:rPr>
            <mc:AlternateContent>
              <mc:Choice Requires="wps">
                <w:drawing>
                  <wp:anchor distT="0" distB="0" distL="114300" distR="114300" simplePos="0" relativeHeight="251710976" behindDoc="0" locked="0" layoutInCell="1" allowOverlap="1" wp14:anchorId="763EC738" wp14:editId="616D9CBD">
                    <wp:simplePos x="0" y="0"/>
                    <wp:positionH relativeFrom="margin">
                      <wp:align>right</wp:align>
                    </wp:positionH>
                    <wp:positionV relativeFrom="page">
                      <wp:posOffset>257175</wp:posOffset>
                    </wp:positionV>
                    <wp:extent cx="803275" cy="98742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0327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3DBE6" w14:textId="77777777" w:rsidR="00382CFA" w:rsidRPr="00084320" w:rsidRDefault="00382CFA">
                                <w:pPr>
                                  <w:pStyle w:val="Sansinterligne"/>
                                  <w:jc w:val="right"/>
                                  <w:rPr>
                                    <w:b/>
                                    <w:outline/>
                                    <w:color w:val="ED7D31" w:themeColor="accent2"/>
                                    <w:sz w:val="44"/>
                                    <w:szCs w:val="24"/>
                                    <w:lang w:val="fr-M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084320">
                                  <w:rPr>
                                    <w:b/>
                                    <w:outline/>
                                    <w:color w:val="ED7D31" w:themeColor="accent2"/>
                                    <w:sz w:val="44"/>
                                    <w:szCs w:val="24"/>
                                    <w:lang w:val="fr-M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2022</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63EC738" id="Rectangle 130" o:spid="_x0000_s1026" style="position:absolute;margin-left:12.05pt;margin-top:20.25pt;width:63.25pt;height:77.75pt;z-index:251710976;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" fillcolor="#5b9bd5 [3204]" stroked="f" strokeweight="1pt">
                    <o:lock v:ext="edit" aspectratio="t"/>
                    <v:textbox inset="3.6pt,,3.6pt">
                      <w:txbxContent>
                        <w:p w14:paraId="6683DBE6" w14:textId="77777777" w:rsidR="00382CFA" w:rsidRPr="00084320" w:rsidRDefault="00382CFA">
                          <w:pPr>
                            <w:pStyle w:val="Sansinterligne"/>
                            <w:jc w:val="right"/>
                            <w:rPr>
                              <w:b/>
                              <w:outline/>
                              <w:color w:val="ED7D31" w:themeColor="accent2"/>
                              <w:sz w:val="44"/>
                              <w:szCs w:val="24"/>
                              <w:lang w:val="fr-M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084320">
                            <w:rPr>
                              <w:b/>
                              <w:outline/>
                              <w:color w:val="ED7D31" w:themeColor="accent2"/>
                              <w:sz w:val="44"/>
                              <w:szCs w:val="24"/>
                              <w:lang w:val="fr-M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2022</w:t>
                          </w:r>
                        </w:p>
                      </w:txbxContent>
                    </v:textbox>
                    <w10:wrap anchorx="margin" anchory="page"/>
                  </v:rect>
                </w:pict>
              </mc:Fallback>
            </mc:AlternateContent>
          </w:r>
        </w:p>
        <w:p w14:paraId="0CE87F07" w14:textId="77777777" w:rsidR="00CD1CC6" w:rsidRDefault="007D532B">
          <w:pPr>
            <w:spacing w:after="0" w:line="240" w:lineRule="auto"/>
            <w:rPr>
              <w:rFonts w:ascii="Times New Roman" w:eastAsia="Times New Roman" w:hAnsi="Times New Roman" w:cs="Times New Roman"/>
              <w:b/>
              <w:color w:val="2E74B5" w:themeColor="accent1" w:themeShade="BF"/>
              <w:sz w:val="24"/>
              <w:szCs w:val="24"/>
            </w:rPr>
          </w:pPr>
          <w:r>
            <w:rPr>
              <w:noProof/>
              <w:lang w:val="fr-CA" w:eastAsia="fr-CA"/>
            </w:rPr>
            <mc:AlternateContent>
              <mc:Choice Requires="wps">
                <w:drawing>
                  <wp:anchor distT="0" distB="0" distL="114300" distR="114300" simplePos="0" relativeHeight="251712000" behindDoc="0" locked="0" layoutInCell="1" allowOverlap="1" wp14:anchorId="4522DFFE" wp14:editId="65F7EB3D">
                    <wp:simplePos x="0" y="0"/>
                    <wp:positionH relativeFrom="page">
                      <wp:align>center</wp:align>
                    </wp:positionH>
                    <wp:positionV relativeFrom="page">
                      <wp:posOffset>9715500</wp:posOffset>
                    </wp:positionV>
                    <wp:extent cx="7312025" cy="833755"/>
                    <wp:effectExtent l="0" t="0" r="3175" b="4445"/>
                    <wp:wrapSquare wrapText="bothSides"/>
                    <wp:docPr id="129" name="Zone de texte 129"/>
                    <wp:cNvGraphicFramePr/>
                    <a:graphic xmlns:a="http://schemas.openxmlformats.org/drawingml/2006/main">
                      <a:graphicData uri="http://schemas.microsoft.com/office/word/2010/wordprocessingShape">
                        <wps:wsp>
                          <wps:cNvSpPr txBox="1"/>
                          <wps:spPr>
                            <a:xfrm>
                              <a:off x="0" y="0"/>
                              <a:ext cx="7312025" cy="83375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E28E9" w14:textId="77777777" w:rsidR="00382CFA" w:rsidRPr="008C4CB5" w:rsidRDefault="00382CFA" w:rsidP="008C4CB5">
                                <w:pPr>
                                  <w:pStyle w:val="Sansinterligne"/>
                                  <w:shd w:val="clear" w:color="auto" w:fill="FFFFFF" w:themeFill="background1"/>
                                  <w:spacing w:before="40" w:after="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44897" w14:textId="77777777" w:rsidR="00382CFA" w:rsidRPr="008C4CB5" w:rsidRDefault="00382CFA" w:rsidP="008C4CB5">
                                <w:pPr>
                                  <w:pStyle w:val="Sansinterligne"/>
                                  <w:shd w:val="clear" w:color="auto" w:fill="FFFFFF" w:themeFill="background1"/>
                                  <w:spacing w:before="40" w:after="40"/>
                                  <w:rPr>
                                    <w:b/>
                                    <w:color w:val="1F4E79" w:themeColor="accent1" w:themeShade="8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9BA">
                                  <w:rPr>
                                    <w:b/>
                                    <w:color w:val="1F4E79" w:themeColor="accent1" w:themeShade="80"/>
                                    <w:szCs w:val="24"/>
                                    <w:lang w:val="fr-M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Réalisée par le cabinet « Aicha Consulting et Audit » pour le compte de la CENTIF Mali</w:t>
                                </w:r>
                              </w:p>
                            </w:txbxContent>
                          </wps:txbx>
                          <wps:bodyPr rot="0" spcFirstLastPara="0" vertOverflow="overflow" horzOverflow="overflow" vert="horz" wrap="square" lIns="914400" tIns="0" rIns="1097280" bIns="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2DFFE" id="_x0000_t202" coordsize="21600,21600" o:spt="202" path="m,l,21600r21600,l21600,xe">
                    <v:stroke joinstyle="miter"/>
                    <v:path gradientshapeok="t" o:connecttype="rect"/>
                  </v:shapetype>
                  <v:shape id="Zone de texte 129" o:spid="_x0000_s1027" type="#_x0000_t202" style="position:absolute;margin-left:0;margin-top:765pt;width:575.75pt;height:65.65pt;z-index:251712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" fillcolor="#92bce3 [2132]" stroked="f" strokeweight=".5pt">
                    <v:fill color2="#d9e8f5 [756]" rotate="t" colors="0 #9ac3f6;.5 #c1d8f8;1 #e1ecfb" focus="100%" type="gradient"/>
                    <v:textbox inset="1in,0,86.4pt,0">
                      <w:txbxContent>
                        <w:p w14:paraId="404E28E9" w14:textId="77777777" w:rsidR="00382CFA" w:rsidRPr="008C4CB5" w:rsidRDefault="00382CFA" w:rsidP="008C4CB5">
                          <w:pPr>
                            <w:pStyle w:val="Sansinterligne"/>
                            <w:shd w:val="clear" w:color="auto" w:fill="FFFFFF" w:themeFill="background1"/>
                            <w:spacing w:before="40" w:after="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44897" w14:textId="77777777" w:rsidR="00382CFA" w:rsidRPr="008C4CB5" w:rsidRDefault="00382CFA" w:rsidP="008C4CB5">
                          <w:pPr>
                            <w:pStyle w:val="Sansinterligne"/>
                            <w:shd w:val="clear" w:color="auto" w:fill="FFFFFF" w:themeFill="background1"/>
                            <w:spacing w:before="40" w:after="40"/>
                            <w:rPr>
                              <w:b/>
                              <w:color w:val="1F4E79" w:themeColor="accent1" w:themeShade="8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9BA">
                            <w:rPr>
                              <w:b/>
                              <w:color w:val="1F4E79" w:themeColor="accent1" w:themeShade="80"/>
                              <w:szCs w:val="24"/>
                              <w:lang w:val="fr-M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Réalisée par le cabinet « Aicha Consulting et Audit » pour le compte de la CENTIF Mali</w:t>
                          </w:r>
                        </w:p>
                      </w:txbxContent>
                    </v:textbox>
                    <w10:wrap type="square" anchorx="page" anchory="page"/>
                  </v:shape>
                </w:pict>
              </mc:Fallback>
            </mc:AlternateContent>
          </w:r>
          <w:r w:rsidR="00CD1CC6">
            <w:rPr>
              <w:noProof/>
              <w:lang w:val="fr-CA" w:eastAsia="fr-CA"/>
            </w:rPr>
            <mc:AlternateContent>
              <mc:Choice Requires="wpg">
                <w:drawing>
                  <wp:anchor distT="0" distB="0" distL="114300" distR="114300" simplePos="0" relativeHeight="251709952" behindDoc="1" locked="0" layoutInCell="1" allowOverlap="1" wp14:anchorId="73086670" wp14:editId="244ECA6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962A3EB" w14:textId="77777777" w:rsidR="00382CFA" w:rsidRPr="007D532B" w:rsidRDefault="00382CFA" w:rsidP="007D532B">
                                  <w:pPr>
                                    <w:rPr>
                                      <w:rFonts w:ascii="Tw Cen MT Condensed Extra Bold" w:hAnsi="Tw Cen MT Condensed Extra Bold"/>
                                      <w:color w:val="FFFFFF" w:themeColor="background1"/>
                                      <w:sz w:val="56"/>
                                      <w:szCs w:val="72"/>
                                    </w:rPr>
                                  </w:pPr>
                                  <w:r w:rsidRPr="007D532B">
                                    <w:rPr>
                                      <w:rFonts w:ascii="Tw Cen MT Condensed Extra Bold" w:hAnsi="Tw Cen MT Condensed Extra Bold"/>
                                      <w:color w:val="FFFFFF" w:themeColor="background1"/>
                                      <w:sz w:val="56"/>
                                      <w:szCs w:val="72"/>
                                    </w:rPr>
                                    <w:t xml:space="preserve">ETUDE POUR EVALUER LES RISQUES DU BLANCHIMENT DE CAPITAUX ET DU FINANCEMENT DU TERRORISME POSES </w:t>
                                  </w:r>
                                  <w:r w:rsidRPr="009469BA">
                                    <w:rPr>
                                      <w:rFonts w:ascii="Tw Cen MT Condensed Extra Bold" w:hAnsi="Tw Cen MT Condensed Extra Bold"/>
                                      <w:color w:val="FFFFFF" w:themeColor="background1"/>
                                      <w:sz w:val="56"/>
                                      <w:szCs w:val="72"/>
                                    </w:rPr>
                                    <w:t xml:space="preserve">PAR LES </w:t>
                                  </w:r>
                                  <w:r w:rsidRPr="009469BA">
                                    <w:rPr>
                                      <w:rFonts w:ascii="Tw Cen MT Condensed Extra Bold" w:hAnsi="Tw Cen MT Condensed Extra Bold"/>
                                      <w:color w:val="FFC000"/>
                                      <w:sz w:val="56"/>
                                      <w:szCs w:val="72"/>
                                    </w:rPr>
                                    <w:t xml:space="preserve">PERSONNES MORALES ET AUTRES CONSTRUCTIONS JURIDIQUES </w:t>
                                  </w:r>
                                  <w:r w:rsidRPr="007D532B">
                                    <w:rPr>
                                      <w:rFonts w:ascii="Tw Cen MT Condensed Extra Bold" w:hAnsi="Tw Cen MT Condensed Extra Bold"/>
                                      <w:color w:val="FFFFFF" w:themeColor="background1"/>
                                      <w:sz w:val="56"/>
                                      <w:szCs w:val="72"/>
                                    </w:rPr>
                                    <w:t xml:space="preserve">ETABLIES AU MALI ET PROPOSER DES MESURES </w:t>
                                  </w:r>
                                  <w:r w:rsidRPr="008C4CB5">
                                    <w:rPr>
                                      <w:rFonts w:ascii="Tw Cen MT Condensed Extra Bold" w:hAnsi="Tw Cen MT Condensed Extra Bold"/>
                                      <w:b/>
                                      <w:color w:val="FFFFFF" w:themeColor="background1"/>
                                      <w:sz w:val="56"/>
                                      <w:szCs w:val="72"/>
                                    </w:rPr>
                                    <w:t>D’ATTENUATION</w:t>
                                  </w: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3086670" id="Groupe 125" o:spid="_x0000_s1028" style="position:absolute;margin-left:0;margin-top:0;width:540pt;height:556.55pt;z-index:-2516065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">
                    <o:lock v:ext="edit" aspectratio="t"/>
                    <v:shape id="Forme libre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962A3EB" w14:textId="77777777" w:rsidR="00382CFA" w:rsidRPr="007D532B" w:rsidRDefault="00382CFA" w:rsidP="007D532B">
                            <w:pPr>
                              <w:rPr>
                                <w:rFonts w:ascii="Tw Cen MT Condensed Extra Bold" w:hAnsi="Tw Cen MT Condensed Extra Bold"/>
                                <w:color w:val="FFFFFF" w:themeColor="background1"/>
                                <w:sz w:val="56"/>
                                <w:szCs w:val="72"/>
                              </w:rPr>
                            </w:pPr>
                            <w:r w:rsidRPr="007D532B">
                              <w:rPr>
                                <w:rFonts w:ascii="Tw Cen MT Condensed Extra Bold" w:hAnsi="Tw Cen MT Condensed Extra Bold"/>
                                <w:color w:val="FFFFFF" w:themeColor="background1"/>
                                <w:sz w:val="56"/>
                                <w:szCs w:val="72"/>
                              </w:rPr>
                              <w:t xml:space="preserve">ETUDE POUR EVALUER LES RISQUES DU BLANCHIMENT DE CAPITAUX ET DU FINANCEMENT DU TERRORISME POSES </w:t>
                            </w:r>
                            <w:r w:rsidRPr="009469BA">
                              <w:rPr>
                                <w:rFonts w:ascii="Tw Cen MT Condensed Extra Bold" w:hAnsi="Tw Cen MT Condensed Extra Bold"/>
                                <w:color w:val="FFFFFF" w:themeColor="background1"/>
                                <w:sz w:val="56"/>
                                <w:szCs w:val="72"/>
                              </w:rPr>
                              <w:t xml:space="preserve">PAR LES </w:t>
                            </w:r>
                            <w:r w:rsidRPr="009469BA">
                              <w:rPr>
                                <w:rFonts w:ascii="Tw Cen MT Condensed Extra Bold" w:hAnsi="Tw Cen MT Condensed Extra Bold"/>
                                <w:color w:val="FFC000"/>
                                <w:sz w:val="56"/>
                                <w:szCs w:val="72"/>
                              </w:rPr>
                              <w:t xml:space="preserve">PERSONNES MORALES ET AUTRES CONSTRUCTIONS JURIDIQUES </w:t>
                            </w:r>
                            <w:r w:rsidRPr="007D532B">
                              <w:rPr>
                                <w:rFonts w:ascii="Tw Cen MT Condensed Extra Bold" w:hAnsi="Tw Cen MT Condensed Extra Bold"/>
                                <w:color w:val="FFFFFF" w:themeColor="background1"/>
                                <w:sz w:val="56"/>
                                <w:szCs w:val="72"/>
                              </w:rPr>
                              <w:t xml:space="preserve">ETABLIES AU MALI ET PROPOSER DES MESURES </w:t>
                            </w:r>
                            <w:r w:rsidRPr="008C4CB5">
                              <w:rPr>
                                <w:rFonts w:ascii="Tw Cen MT Condensed Extra Bold" w:hAnsi="Tw Cen MT Condensed Extra Bold"/>
                                <w:b/>
                                <w:color w:val="FFFFFF" w:themeColor="background1"/>
                                <w:sz w:val="56"/>
                                <w:szCs w:val="72"/>
                              </w:rPr>
                              <w:t>D’ATTENUATION</w:t>
                            </w:r>
                          </w:p>
                        </w:txbxContent>
                      </v:textbox>
                    </v:shape>
                    <v:shape id="Forme libre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CD1CC6">
            <w:rPr>
              <w:rFonts w:ascii="Times New Roman" w:eastAsia="Times New Roman" w:hAnsi="Times New Roman" w:cs="Times New Roman"/>
              <w:bCs/>
              <w:sz w:val="24"/>
              <w:szCs w:val="24"/>
            </w:rPr>
            <w:br w:type="page"/>
          </w:r>
        </w:p>
      </w:sdtContent>
    </w:sdt>
    <w:sdt>
      <w:sdtPr>
        <w:rPr>
          <w:rFonts w:asciiTheme="minorHAnsi" w:eastAsiaTheme="minorHAnsi" w:hAnsiTheme="minorHAnsi" w:cstheme="minorBidi"/>
          <w:b w:val="0"/>
          <w:bCs w:val="0"/>
          <w:color w:val="auto"/>
          <w:sz w:val="24"/>
          <w:szCs w:val="22"/>
          <w:lang w:val="fr-FR" w:eastAsia="en-US"/>
        </w:rPr>
        <w:id w:val="-1730758342"/>
        <w:docPartObj>
          <w:docPartGallery w:val="Table of Contents"/>
          <w:docPartUnique/>
        </w:docPartObj>
      </w:sdtPr>
      <w:sdtEndPr>
        <w:rPr>
          <w:sz w:val="22"/>
        </w:rPr>
      </w:sdtEndPr>
      <w:sdtContent>
        <w:p w14:paraId="4E5DDDEC" w14:textId="77777777" w:rsidR="00655937" w:rsidRPr="003A21C2" w:rsidRDefault="001F564C">
          <w:pPr>
            <w:pStyle w:val="En-ttedetabledesmatires"/>
            <w:rPr>
              <w:color w:val="auto"/>
              <w:sz w:val="32"/>
              <w:lang w:val="fr-FR"/>
            </w:rPr>
          </w:pPr>
          <w:r w:rsidRPr="003A21C2">
            <w:rPr>
              <w:color w:val="auto"/>
              <w:sz w:val="32"/>
              <w:lang w:val="fr-FR"/>
            </w:rPr>
            <w:t>TABLE DES MATIERES</w:t>
          </w:r>
        </w:p>
        <w:p w14:paraId="02179149" w14:textId="77777777" w:rsidR="00490A77" w:rsidRDefault="00490A77">
          <w:pPr>
            <w:pStyle w:val="TM1"/>
            <w:tabs>
              <w:tab w:val="right" w:leader="underscore" w:pos="9487"/>
            </w:tabs>
            <w:rPr>
              <w:rFonts w:eastAsiaTheme="minorEastAsia" w:cstheme="minorBidi"/>
              <w:b w:val="0"/>
              <w:bCs w:val="0"/>
              <w:i w:val="0"/>
              <w:iCs w:val="0"/>
              <w:noProof/>
              <w:sz w:val="22"/>
              <w:szCs w:val="22"/>
              <w:lang w:eastAsia="fr-FR"/>
            </w:rPr>
          </w:pPr>
          <w:r>
            <w:fldChar w:fldCharType="begin"/>
          </w:r>
          <w:r>
            <w:instrText xml:space="preserve"> TOC \o "1-3" \h \z \u </w:instrText>
          </w:r>
          <w:r>
            <w:fldChar w:fldCharType="separate"/>
          </w:r>
          <w:hyperlink w:anchor="_Toc126251850" w:history="1">
            <w:r w:rsidRPr="00263B6B">
              <w:rPr>
                <w:rStyle w:val="Lienhypertexte"/>
                <w:rFonts w:ascii="Times New Roman" w:eastAsia="Times New Roman" w:hAnsi="Times New Roman" w:cs="Times New Roman"/>
                <w:noProof/>
              </w:rPr>
              <w:t>LISTE DES SIGLES ET ABREVIATIONS</w:t>
            </w:r>
            <w:r>
              <w:rPr>
                <w:noProof/>
                <w:webHidden/>
              </w:rPr>
              <w:tab/>
            </w:r>
            <w:r>
              <w:rPr>
                <w:noProof/>
                <w:webHidden/>
              </w:rPr>
              <w:fldChar w:fldCharType="begin"/>
            </w:r>
            <w:r>
              <w:rPr>
                <w:noProof/>
                <w:webHidden/>
              </w:rPr>
              <w:instrText xml:space="preserve"> PAGEREF _Toc126251850 \h </w:instrText>
            </w:r>
            <w:r>
              <w:rPr>
                <w:noProof/>
                <w:webHidden/>
              </w:rPr>
            </w:r>
            <w:r>
              <w:rPr>
                <w:noProof/>
                <w:webHidden/>
              </w:rPr>
              <w:fldChar w:fldCharType="separate"/>
            </w:r>
            <w:r>
              <w:rPr>
                <w:noProof/>
                <w:webHidden/>
              </w:rPr>
              <w:t>3</w:t>
            </w:r>
            <w:r>
              <w:rPr>
                <w:noProof/>
                <w:webHidden/>
              </w:rPr>
              <w:fldChar w:fldCharType="end"/>
            </w:r>
          </w:hyperlink>
        </w:p>
        <w:p w14:paraId="5D2D5C3C" w14:textId="77777777" w:rsidR="00490A77" w:rsidRDefault="00000000">
          <w:pPr>
            <w:pStyle w:val="TM1"/>
            <w:tabs>
              <w:tab w:val="right" w:leader="underscore" w:pos="9487"/>
            </w:tabs>
            <w:rPr>
              <w:rFonts w:eastAsiaTheme="minorEastAsia" w:cstheme="minorBidi"/>
              <w:b w:val="0"/>
              <w:bCs w:val="0"/>
              <w:i w:val="0"/>
              <w:iCs w:val="0"/>
              <w:noProof/>
              <w:sz w:val="22"/>
              <w:szCs w:val="22"/>
              <w:lang w:eastAsia="fr-FR"/>
            </w:rPr>
          </w:pPr>
          <w:hyperlink w:anchor="_Toc126251851" w:history="1">
            <w:r w:rsidR="00490A77" w:rsidRPr="00263B6B">
              <w:rPr>
                <w:rStyle w:val="Lienhypertexte"/>
                <w:rFonts w:ascii="Times New Roman" w:hAnsi="Times New Roman" w:cs="Times New Roman"/>
                <w:noProof/>
              </w:rPr>
              <w:t>INTRODUCTION</w:t>
            </w:r>
            <w:r w:rsidR="00490A77">
              <w:rPr>
                <w:noProof/>
                <w:webHidden/>
              </w:rPr>
              <w:tab/>
            </w:r>
            <w:r w:rsidR="00490A77">
              <w:rPr>
                <w:noProof/>
                <w:webHidden/>
              </w:rPr>
              <w:fldChar w:fldCharType="begin"/>
            </w:r>
            <w:r w:rsidR="00490A77">
              <w:rPr>
                <w:noProof/>
                <w:webHidden/>
              </w:rPr>
              <w:instrText xml:space="preserve"> PAGEREF _Toc126251851 \h </w:instrText>
            </w:r>
            <w:r w:rsidR="00490A77">
              <w:rPr>
                <w:noProof/>
                <w:webHidden/>
              </w:rPr>
            </w:r>
            <w:r w:rsidR="00490A77">
              <w:rPr>
                <w:noProof/>
                <w:webHidden/>
              </w:rPr>
              <w:fldChar w:fldCharType="separate"/>
            </w:r>
            <w:r w:rsidR="00490A77">
              <w:rPr>
                <w:noProof/>
                <w:webHidden/>
              </w:rPr>
              <w:t>4</w:t>
            </w:r>
            <w:r w:rsidR="00490A77">
              <w:rPr>
                <w:noProof/>
                <w:webHidden/>
              </w:rPr>
              <w:fldChar w:fldCharType="end"/>
            </w:r>
          </w:hyperlink>
        </w:p>
        <w:p w14:paraId="303844EA" w14:textId="77777777" w:rsidR="00490A77" w:rsidRDefault="00000000">
          <w:pPr>
            <w:pStyle w:val="TM2"/>
            <w:tabs>
              <w:tab w:val="left" w:pos="660"/>
              <w:tab w:val="right" w:leader="underscore" w:pos="9487"/>
            </w:tabs>
            <w:rPr>
              <w:rFonts w:eastAsiaTheme="minorEastAsia" w:cstheme="minorBidi"/>
              <w:b w:val="0"/>
              <w:bCs w:val="0"/>
              <w:noProof/>
              <w:lang w:eastAsia="fr-FR"/>
            </w:rPr>
          </w:pPr>
          <w:hyperlink w:anchor="_Toc126251852" w:history="1">
            <w:r w:rsidR="00490A77" w:rsidRPr="00263B6B">
              <w:rPr>
                <w:rStyle w:val="Lienhypertexte"/>
                <w:rFonts w:ascii="Times New Roman" w:hAnsi="Times New Roman" w:cs="Times New Roman"/>
                <w:noProof/>
              </w:rPr>
              <w:t>I.</w:t>
            </w:r>
            <w:r w:rsidR="00490A77">
              <w:rPr>
                <w:rFonts w:eastAsiaTheme="minorEastAsia" w:cstheme="minorBidi"/>
                <w:b w:val="0"/>
                <w:bCs w:val="0"/>
                <w:noProof/>
                <w:lang w:eastAsia="fr-FR"/>
              </w:rPr>
              <w:tab/>
            </w:r>
            <w:r w:rsidR="00490A77" w:rsidRPr="00263B6B">
              <w:rPr>
                <w:rStyle w:val="Lienhypertexte"/>
                <w:rFonts w:ascii="Times New Roman" w:hAnsi="Times New Roman" w:cs="Times New Roman"/>
                <w:noProof/>
              </w:rPr>
              <w:t>Contexte et justification de l'étude</w:t>
            </w:r>
            <w:r w:rsidR="00490A77">
              <w:rPr>
                <w:noProof/>
                <w:webHidden/>
              </w:rPr>
              <w:tab/>
            </w:r>
            <w:r w:rsidR="00490A77">
              <w:rPr>
                <w:noProof/>
                <w:webHidden/>
              </w:rPr>
              <w:fldChar w:fldCharType="begin"/>
            </w:r>
            <w:r w:rsidR="00490A77">
              <w:rPr>
                <w:noProof/>
                <w:webHidden/>
              </w:rPr>
              <w:instrText xml:space="preserve"> PAGEREF _Toc126251852 \h </w:instrText>
            </w:r>
            <w:r w:rsidR="00490A77">
              <w:rPr>
                <w:noProof/>
                <w:webHidden/>
              </w:rPr>
            </w:r>
            <w:r w:rsidR="00490A77">
              <w:rPr>
                <w:noProof/>
                <w:webHidden/>
              </w:rPr>
              <w:fldChar w:fldCharType="separate"/>
            </w:r>
            <w:r w:rsidR="00490A77">
              <w:rPr>
                <w:noProof/>
                <w:webHidden/>
              </w:rPr>
              <w:t>4</w:t>
            </w:r>
            <w:r w:rsidR="00490A77">
              <w:rPr>
                <w:noProof/>
                <w:webHidden/>
              </w:rPr>
              <w:fldChar w:fldCharType="end"/>
            </w:r>
          </w:hyperlink>
        </w:p>
        <w:p w14:paraId="79B88AB0" w14:textId="77777777" w:rsidR="00490A77" w:rsidRDefault="00000000">
          <w:pPr>
            <w:pStyle w:val="TM2"/>
            <w:tabs>
              <w:tab w:val="left" w:pos="880"/>
              <w:tab w:val="right" w:leader="underscore" w:pos="9487"/>
            </w:tabs>
            <w:rPr>
              <w:rFonts w:eastAsiaTheme="minorEastAsia" w:cstheme="minorBidi"/>
              <w:b w:val="0"/>
              <w:bCs w:val="0"/>
              <w:noProof/>
              <w:lang w:eastAsia="fr-FR"/>
            </w:rPr>
          </w:pPr>
          <w:hyperlink w:anchor="_Toc126251853" w:history="1">
            <w:r w:rsidR="00490A77" w:rsidRPr="00263B6B">
              <w:rPr>
                <w:rStyle w:val="Lienhypertexte"/>
                <w:rFonts w:ascii="Times New Roman" w:hAnsi="Times New Roman" w:cs="Times New Roman"/>
                <w:noProof/>
              </w:rPr>
              <w:t>II.</w:t>
            </w:r>
            <w:r w:rsidR="00490A77">
              <w:rPr>
                <w:rFonts w:eastAsiaTheme="minorEastAsia" w:cstheme="minorBidi"/>
                <w:b w:val="0"/>
                <w:bCs w:val="0"/>
                <w:noProof/>
                <w:lang w:eastAsia="fr-FR"/>
              </w:rPr>
              <w:tab/>
            </w:r>
            <w:r w:rsidR="00490A77" w:rsidRPr="00263B6B">
              <w:rPr>
                <w:rStyle w:val="Lienhypertexte"/>
                <w:rFonts w:ascii="Times New Roman" w:hAnsi="Times New Roman" w:cs="Times New Roman"/>
                <w:noProof/>
              </w:rPr>
              <w:t>Objectif global :</w:t>
            </w:r>
            <w:r w:rsidR="00490A77">
              <w:rPr>
                <w:noProof/>
                <w:webHidden/>
              </w:rPr>
              <w:tab/>
            </w:r>
            <w:r w:rsidR="00490A77">
              <w:rPr>
                <w:noProof/>
                <w:webHidden/>
              </w:rPr>
              <w:fldChar w:fldCharType="begin"/>
            </w:r>
            <w:r w:rsidR="00490A77">
              <w:rPr>
                <w:noProof/>
                <w:webHidden/>
              </w:rPr>
              <w:instrText xml:space="preserve"> PAGEREF _Toc126251853 \h </w:instrText>
            </w:r>
            <w:r w:rsidR="00490A77">
              <w:rPr>
                <w:noProof/>
                <w:webHidden/>
              </w:rPr>
            </w:r>
            <w:r w:rsidR="00490A77">
              <w:rPr>
                <w:noProof/>
                <w:webHidden/>
              </w:rPr>
              <w:fldChar w:fldCharType="separate"/>
            </w:r>
            <w:r w:rsidR="00490A77">
              <w:rPr>
                <w:noProof/>
                <w:webHidden/>
              </w:rPr>
              <w:t>5</w:t>
            </w:r>
            <w:r w:rsidR="00490A77">
              <w:rPr>
                <w:noProof/>
                <w:webHidden/>
              </w:rPr>
              <w:fldChar w:fldCharType="end"/>
            </w:r>
          </w:hyperlink>
        </w:p>
        <w:p w14:paraId="37AD7F4B" w14:textId="77777777" w:rsidR="00490A77" w:rsidRDefault="00000000">
          <w:pPr>
            <w:pStyle w:val="TM2"/>
            <w:tabs>
              <w:tab w:val="left" w:pos="880"/>
              <w:tab w:val="right" w:leader="underscore" w:pos="9487"/>
            </w:tabs>
            <w:rPr>
              <w:rFonts w:eastAsiaTheme="minorEastAsia" w:cstheme="minorBidi"/>
              <w:b w:val="0"/>
              <w:bCs w:val="0"/>
              <w:noProof/>
              <w:lang w:eastAsia="fr-FR"/>
            </w:rPr>
          </w:pPr>
          <w:hyperlink w:anchor="_Toc126251854" w:history="1">
            <w:r w:rsidR="00490A77" w:rsidRPr="00263B6B">
              <w:rPr>
                <w:rStyle w:val="Lienhypertexte"/>
                <w:rFonts w:ascii="Times New Roman" w:hAnsi="Times New Roman" w:cs="Times New Roman"/>
                <w:noProof/>
              </w:rPr>
              <w:t>III.</w:t>
            </w:r>
            <w:r w:rsidR="00490A77">
              <w:rPr>
                <w:rFonts w:eastAsiaTheme="minorEastAsia" w:cstheme="minorBidi"/>
                <w:b w:val="0"/>
                <w:bCs w:val="0"/>
                <w:noProof/>
                <w:lang w:eastAsia="fr-FR"/>
              </w:rPr>
              <w:tab/>
            </w:r>
            <w:r w:rsidR="00490A77" w:rsidRPr="00263B6B">
              <w:rPr>
                <w:rStyle w:val="Lienhypertexte"/>
                <w:rFonts w:ascii="Times New Roman" w:hAnsi="Times New Roman" w:cs="Times New Roman"/>
                <w:noProof/>
                <w:shd w:val="clear" w:color="auto" w:fill="FFFFFF"/>
              </w:rPr>
              <w:t>Objectifs spécifiques :</w:t>
            </w:r>
            <w:r w:rsidR="00490A77">
              <w:rPr>
                <w:noProof/>
                <w:webHidden/>
              </w:rPr>
              <w:tab/>
            </w:r>
            <w:r w:rsidR="00490A77">
              <w:rPr>
                <w:noProof/>
                <w:webHidden/>
              </w:rPr>
              <w:fldChar w:fldCharType="begin"/>
            </w:r>
            <w:r w:rsidR="00490A77">
              <w:rPr>
                <w:noProof/>
                <w:webHidden/>
              </w:rPr>
              <w:instrText xml:space="preserve"> PAGEREF _Toc126251854 \h </w:instrText>
            </w:r>
            <w:r w:rsidR="00490A77">
              <w:rPr>
                <w:noProof/>
                <w:webHidden/>
              </w:rPr>
            </w:r>
            <w:r w:rsidR="00490A77">
              <w:rPr>
                <w:noProof/>
                <w:webHidden/>
              </w:rPr>
              <w:fldChar w:fldCharType="separate"/>
            </w:r>
            <w:r w:rsidR="00490A77">
              <w:rPr>
                <w:noProof/>
                <w:webHidden/>
              </w:rPr>
              <w:t>5</w:t>
            </w:r>
            <w:r w:rsidR="00490A77">
              <w:rPr>
                <w:noProof/>
                <w:webHidden/>
              </w:rPr>
              <w:fldChar w:fldCharType="end"/>
            </w:r>
          </w:hyperlink>
        </w:p>
        <w:p w14:paraId="15F935BE" w14:textId="77777777" w:rsidR="00490A77" w:rsidRDefault="00000000">
          <w:pPr>
            <w:pStyle w:val="TM2"/>
            <w:tabs>
              <w:tab w:val="left" w:pos="880"/>
              <w:tab w:val="right" w:leader="underscore" w:pos="9487"/>
            </w:tabs>
            <w:rPr>
              <w:rFonts w:eastAsiaTheme="minorEastAsia" w:cstheme="minorBidi"/>
              <w:b w:val="0"/>
              <w:bCs w:val="0"/>
              <w:noProof/>
              <w:lang w:eastAsia="fr-FR"/>
            </w:rPr>
          </w:pPr>
          <w:hyperlink w:anchor="_Toc126251855" w:history="1">
            <w:r w:rsidR="00490A77" w:rsidRPr="00263B6B">
              <w:rPr>
                <w:rStyle w:val="Lienhypertexte"/>
                <w:rFonts w:ascii="Times New Roman" w:hAnsi="Times New Roman" w:cs="Times New Roman"/>
                <w:noProof/>
              </w:rPr>
              <w:t>IV.</w:t>
            </w:r>
            <w:r w:rsidR="00490A77">
              <w:rPr>
                <w:rFonts w:eastAsiaTheme="minorEastAsia" w:cstheme="minorBidi"/>
                <w:b w:val="0"/>
                <w:bCs w:val="0"/>
                <w:noProof/>
                <w:lang w:eastAsia="fr-FR"/>
              </w:rPr>
              <w:tab/>
            </w:r>
            <w:r w:rsidR="00490A77" w:rsidRPr="00263B6B">
              <w:rPr>
                <w:rStyle w:val="Lienhypertexte"/>
                <w:rFonts w:ascii="Times New Roman" w:hAnsi="Times New Roman" w:cs="Times New Roman"/>
                <w:noProof/>
                <w:shd w:val="clear" w:color="auto" w:fill="FFFFFF"/>
              </w:rPr>
              <w:t>Méthodologie</w:t>
            </w:r>
            <w:r w:rsidR="00490A77">
              <w:rPr>
                <w:noProof/>
                <w:webHidden/>
              </w:rPr>
              <w:tab/>
            </w:r>
            <w:r w:rsidR="00490A77">
              <w:rPr>
                <w:noProof/>
                <w:webHidden/>
              </w:rPr>
              <w:fldChar w:fldCharType="begin"/>
            </w:r>
            <w:r w:rsidR="00490A77">
              <w:rPr>
                <w:noProof/>
                <w:webHidden/>
              </w:rPr>
              <w:instrText xml:space="preserve"> PAGEREF _Toc126251855 \h </w:instrText>
            </w:r>
            <w:r w:rsidR="00490A77">
              <w:rPr>
                <w:noProof/>
                <w:webHidden/>
              </w:rPr>
            </w:r>
            <w:r w:rsidR="00490A77">
              <w:rPr>
                <w:noProof/>
                <w:webHidden/>
              </w:rPr>
              <w:fldChar w:fldCharType="separate"/>
            </w:r>
            <w:r w:rsidR="00490A77">
              <w:rPr>
                <w:noProof/>
                <w:webHidden/>
              </w:rPr>
              <w:t>6</w:t>
            </w:r>
            <w:r w:rsidR="00490A77">
              <w:rPr>
                <w:noProof/>
                <w:webHidden/>
              </w:rPr>
              <w:fldChar w:fldCharType="end"/>
            </w:r>
          </w:hyperlink>
        </w:p>
        <w:p w14:paraId="148F772B" w14:textId="77777777" w:rsidR="00490A77" w:rsidRDefault="00000000">
          <w:pPr>
            <w:pStyle w:val="TM2"/>
            <w:tabs>
              <w:tab w:val="left" w:pos="660"/>
              <w:tab w:val="right" w:leader="underscore" w:pos="9487"/>
            </w:tabs>
            <w:rPr>
              <w:rFonts w:eastAsiaTheme="minorEastAsia" w:cstheme="minorBidi"/>
              <w:b w:val="0"/>
              <w:bCs w:val="0"/>
              <w:noProof/>
              <w:lang w:eastAsia="fr-FR"/>
            </w:rPr>
          </w:pPr>
          <w:hyperlink w:anchor="_Toc126251856" w:history="1">
            <w:r w:rsidR="00490A77" w:rsidRPr="00263B6B">
              <w:rPr>
                <w:rStyle w:val="Lienhypertexte"/>
                <w:rFonts w:ascii="Times New Roman" w:hAnsi="Times New Roman" w:cs="Times New Roman"/>
                <w:noProof/>
              </w:rPr>
              <w:t>V.</w:t>
            </w:r>
            <w:r w:rsidR="00490A77">
              <w:rPr>
                <w:rFonts w:eastAsiaTheme="minorEastAsia" w:cstheme="minorBidi"/>
                <w:b w:val="0"/>
                <w:bCs w:val="0"/>
                <w:noProof/>
                <w:lang w:eastAsia="fr-FR"/>
              </w:rPr>
              <w:tab/>
            </w:r>
            <w:r w:rsidR="00490A77" w:rsidRPr="00263B6B">
              <w:rPr>
                <w:rStyle w:val="Lienhypertexte"/>
                <w:rFonts w:ascii="Times New Roman" w:hAnsi="Times New Roman" w:cs="Times New Roman"/>
                <w:noProof/>
              </w:rPr>
              <w:t>Difficultés rencontrées :</w:t>
            </w:r>
            <w:r w:rsidR="00490A77">
              <w:rPr>
                <w:noProof/>
                <w:webHidden/>
              </w:rPr>
              <w:tab/>
            </w:r>
            <w:r w:rsidR="00490A77">
              <w:rPr>
                <w:noProof/>
                <w:webHidden/>
              </w:rPr>
              <w:fldChar w:fldCharType="begin"/>
            </w:r>
            <w:r w:rsidR="00490A77">
              <w:rPr>
                <w:noProof/>
                <w:webHidden/>
              </w:rPr>
              <w:instrText xml:space="preserve"> PAGEREF _Toc126251856 \h </w:instrText>
            </w:r>
            <w:r w:rsidR="00490A77">
              <w:rPr>
                <w:noProof/>
                <w:webHidden/>
              </w:rPr>
            </w:r>
            <w:r w:rsidR="00490A77">
              <w:rPr>
                <w:noProof/>
                <w:webHidden/>
              </w:rPr>
              <w:fldChar w:fldCharType="separate"/>
            </w:r>
            <w:r w:rsidR="00490A77">
              <w:rPr>
                <w:noProof/>
                <w:webHidden/>
              </w:rPr>
              <w:t>8</w:t>
            </w:r>
            <w:r w:rsidR="00490A77">
              <w:rPr>
                <w:noProof/>
                <w:webHidden/>
              </w:rPr>
              <w:fldChar w:fldCharType="end"/>
            </w:r>
          </w:hyperlink>
        </w:p>
        <w:p w14:paraId="5EDB687D" w14:textId="77777777" w:rsidR="00490A77" w:rsidRDefault="00000000">
          <w:pPr>
            <w:pStyle w:val="TM1"/>
            <w:tabs>
              <w:tab w:val="right" w:leader="underscore" w:pos="9487"/>
            </w:tabs>
            <w:rPr>
              <w:rFonts w:eastAsiaTheme="minorEastAsia" w:cstheme="minorBidi"/>
              <w:b w:val="0"/>
              <w:bCs w:val="0"/>
              <w:i w:val="0"/>
              <w:iCs w:val="0"/>
              <w:noProof/>
              <w:sz w:val="22"/>
              <w:szCs w:val="22"/>
              <w:lang w:eastAsia="fr-FR"/>
            </w:rPr>
          </w:pPr>
          <w:hyperlink w:anchor="_Toc126251857" w:history="1">
            <w:r w:rsidR="00490A77" w:rsidRPr="00263B6B">
              <w:rPr>
                <w:rStyle w:val="Lienhypertexte"/>
                <w:rFonts w:ascii="Times New Roman" w:hAnsi="Times New Roman" w:cs="Times New Roman"/>
                <w:noProof/>
              </w:rPr>
              <w:t>PREMIERE PARTIE :</w:t>
            </w:r>
            <w:r w:rsidR="00490A77" w:rsidRPr="00263B6B">
              <w:rPr>
                <w:rStyle w:val="Lienhypertexte"/>
                <w:rFonts w:ascii="Times New Roman" w:hAnsi="Times New Roman" w:cs="Times New Roman"/>
                <w:noProof/>
                <w:shd w:val="clear" w:color="auto" w:fill="FFFFFF"/>
              </w:rPr>
              <w:t xml:space="preserve"> </w:t>
            </w:r>
            <w:r w:rsidR="00490A77" w:rsidRPr="00263B6B">
              <w:rPr>
                <w:rStyle w:val="Lienhypertexte"/>
                <w:rFonts w:ascii="Times New Roman" w:hAnsi="Times New Roman" w:cs="Times New Roman"/>
                <w:noProof/>
              </w:rPr>
              <w:t>LES CONCEPTS DE « PERSONNES MORALES » ET AUTRES « CONSTRUCTIONS JURIDIQUES »</w:t>
            </w:r>
            <w:r w:rsidR="00490A77">
              <w:rPr>
                <w:noProof/>
                <w:webHidden/>
              </w:rPr>
              <w:tab/>
            </w:r>
            <w:r w:rsidR="00490A77">
              <w:rPr>
                <w:noProof/>
                <w:webHidden/>
              </w:rPr>
              <w:fldChar w:fldCharType="begin"/>
            </w:r>
            <w:r w:rsidR="00490A77">
              <w:rPr>
                <w:noProof/>
                <w:webHidden/>
              </w:rPr>
              <w:instrText xml:space="preserve"> PAGEREF _Toc126251857 \h </w:instrText>
            </w:r>
            <w:r w:rsidR="00490A77">
              <w:rPr>
                <w:noProof/>
                <w:webHidden/>
              </w:rPr>
            </w:r>
            <w:r w:rsidR="00490A77">
              <w:rPr>
                <w:noProof/>
                <w:webHidden/>
              </w:rPr>
              <w:fldChar w:fldCharType="separate"/>
            </w:r>
            <w:r w:rsidR="00490A77">
              <w:rPr>
                <w:noProof/>
                <w:webHidden/>
              </w:rPr>
              <w:t>9</w:t>
            </w:r>
            <w:r w:rsidR="00490A77">
              <w:rPr>
                <w:noProof/>
                <w:webHidden/>
              </w:rPr>
              <w:fldChar w:fldCharType="end"/>
            </w:r>
          </w:hyperlink>
        </w:p>
        <w:p w14:paraId="22446246" w14:textId="77777777" w:rsidR="00490A77" w:rsidRDefault="00000000">
          <w:pPr>
            <w:pStyle w:val="TM2"/>
            <w:tabs>
              <w:tab w:val="right" w:leader="underscore" w:pos="9487"/>
            </w:tabs>
            <w:rPr>
              <w:rFonts w:eastAsiaTheme="minorEastAsia" w:cstheme="minorBidi"/>
              <w:b w:val="0"/>
              <w:bCs w:val="0"/>
              <w:noProof/>
              <w:lang w:eastAsia="fr-FR"/>
            </w:rPr>
          </w:pPr>
          <w:hyperlink w:anchor="_Toc126251858" w:history="1">
            <w:r w:rsidR="00490A77" w:rsidRPr="00263B6B">
              <w:rPr>
                <w:rStyle w:val="Lienhypertexte"/>
                <w:rFonts w:ascii="Times New Roman" w:hAnsi="Times New Roman" w:cs="Times New Roman"/>
                <w:noProof/>
                <w:shd w:val="clear" w:color="auto" w:fill="FFFFFF"/>
              </w:rPr>
              <w:t>I.  Définition de personnes morales :</w:t>
            </w:r>
            <w:r w:rsidR="00490A77">
              <w:rPr>
                <w:noProof/>
                <w:webHidden/>
              </w:rPr>
              <w:tab/>
            </w:r>
            <w:r w:rsidR="00490A77">
              <w:rPr>
                <w:noProof/>
                <w:webHidden/>
              </w:rPr>
              <w:fldChar w:fldCharType="begin"/>
            </w:r>
            <w:r w:rsidR="00490A77">
              <w:rPr>
                <w:noProof/>
                <w:webHidden/>
              </w:rPr>
              <w:instrText xml:space="preserve"> PAGEREF _Toc126251858 \h </w:instrText>
            </w:r>
            <w:r w:rsidR="00490A77">
              <w:rPr>
                <w:noProof/>
                <w:webHidden/>
              </w:rPr>
            </w:r>
            <w:r w:rsidR="00490A77">
              <w:rPr>
                <w:noProof/>
                <w:webHidden/>
              </w:rPr>
              <w:fldChar w:fldCharType="separate"/>
            </w:r>
            <w:r w:rsidR="00490A77">
              <w:rPr>
                <w:noProof/>
                <w:webHidden/>
              </w:rPr>
              <w:t>10</w:t>
            </w:r>
            <w:r w:rsidR="00490A77">
              <w:rPr>
                <w:noProof/>
                <w:webHidden/>
              </w:rPr>
              <w:fldChar w:fldCharType="end"/>
            </w:r>
          </w:hyperlink>
        </w:p>
        <w:p w14:paraId="347AC942" w14:textId="77777777" w:rsidR="00490A77" w:rsidRDefault="00000000">
          <w:pPr>
            <w:pStyle w:val="TM2"/>
            <w:tabs>
              <w:tab w:val="right" w:leader="underscore" w:pos="9487"/>
            </w:tabs>
            <w:rPr>
              <w:rFonts w:eastAsiaTheme="minorEastAsia" w:cstheme="minorBidi"/>
              <w:b w:val="0"/>
              <w:bCs w:val="0"/>
              <w:noProof/>
              <w:lang w:eastAsia="fr-FR"/>
            </w:rPr>
          </w:pPr>
          <w:hyperlink w:anchor="_Toc126251859" w:history="1">
            <w:r w:rsidR="00490A77" w:rsidRPr="00263B6B">
              <w:rPr>
                <w:rStyle w:val="Lienhypertexte"/>
                <w:rFonts w:ascii="Times New Roman" w:hAnsi="Times New Roman" w:cs="Times New Roman"/>
                <w:noProof/>
                <w:shd w:val="clear" w:color="auto" w:fill="FFFFFF"/>
              </w:rPr>
              <w:t>II. Définition de constructions juridiques</w:t>
            </w:r>
            <w:r w:rsidR="00490A77">
              <w:rPr>
                <w:noProof/>
                <w:webHidden/>
              </w:rPr>
              <w:tab/>
            </w:r>
            <w:r w:rsidR="00490A77">
              <w:rPr>
                <w:noProof/>
                <w:webHidden/>
              </w:rPr>
              <w:fldChar w:fldCharType="begin"/>
            </w:r>
            <w:r w:rsidR="00490A77">
              <w:rPr>
                <w:noProof/>
                <w:webHidden/>
              </w:rPr>
              <w:instrText xml:space="preserve"> PAGEREF _Toc126251859 \h </w:instrText>
            </w:r>
            <w:r w:rsidR="00490A77">
              <w:rPr>
                <w:noProof/>
                <w:webHidden/>
              </w:rPr>
            </w:r>
            <w:r w:rsidR="00490A77">
              <w:rPr>
                <w:noProof/>
                <w:webHidden/>
              </w:rPr>
              <w:fldChar w:fldCharType="separate"/>
            </w:r>
            <w:r w:rsidR="00490A77">
              <w:rPr>
                <w:noProof/>
                <w:webHidden/>
              </w:rPr>
              <w:t>10</w:t>
            </w:r>
            <w:r w:rsidR="00490A77">
              <w:rPr>
                <w:noProof/>
                <w:webHidden/>
              </w:rPr>
              <w:fldChar w:fldCharType="end"/>
            </w:r>
          </w:hyperlink>
        </w:p>
        <w:p w14:paraId="6587BACC" w14:textId="77777777" w:rsidR="00490A77" w:rsidRDefault="00000000">
          <w:pPr>
            <w:pStyle w:val="TM2"/>
            <w:tabs>
              <w:tab w:val="right" w:leader="underscore" w:pos="9487"/>
            </w:tabs>
            <w:rPr>
              <w:rFonts w:eastAsiaTheme="minorEastAsia" w:cstheme="minorBidi"/>
              <w:b w:val="0"/>
              <w:bCs w:val="0"/>
              <w:noProof/>
              <w:lang w:eastAsia="fr-FR"/>
            </w:rPr>
          </w:pPr>
          <w:hyperlink w:anchor="_Toc126251860" w:history="1">
            <w:r w:rsidR="00490A77" w:rsidRPr="00263B6B">
              <w:rPr>
                <w:rStyle w:val="Lienhypertexte"/>
                <w:rFonts w:ascii="Times New Roman" w:hAnsi="Times New Roman" w:cs="Times New Roman"/>
                <w:noProof/>
              </w:rPr>
              <w:t>III. Personnes morales et autres constructions juridiques</w:t>
            </w:r>
            <w:r w:rsidR="00490A77">
              <w:rPr>
                <w:noProof/>
                <w:webHidden/>
              </w:rPr>
              <w:tab/>
            </w:r>
            <w:r w:rsidR="00490A77">
              <w:rPr>
                <w:noProof/>
                <w:webHidden/>
              </w:rPr>
              <w:fldChar w:fldCharType="begin"/>
            </w:r>
            <w:r w:rsidR="00490A77">
              <w:rPr>
                <w:noProof/>
                <w:webHidden/>
              </w:rPr>
              <w:instrText xml:space="preserve"> PAGEREF _Toc126251860 \h </w:instrText>
            </w:r>
            <w:r w:rsidR="00490A77">
              <w:rPr>
                <w:noProof/>
                <w:webHidden/>
              </w:rPr>
            </w:r>
            <w:r w:rsidR="00490A77">
              <w:rPr>
                <w:noProof/>
                <w:webHidden/>
              </w:rPr>
              <w:fldChar w:fldCharType="separate"/>
            </w:r>
            <w:r w:rsidR="00490A77">
              <w:rPr>
                <w:noProof/>
                <w:webHidden/>
              </w:rPr>
              <w:t>11</w:t>
            </w:r>
            <w:r w:rsidR="00490A77">
              <w:rPr>
                <w:noProof/>
                <w:webHidden/>
              </w:rPr>
              <w:fldChar w:fldCharType="end"/>
            </w:r>
          </w:hyperlink>
        </w:p>
        <w:p w14:paraId="23160B70" w14:textId="77777777" w:rsidR="00490A77" w:rsidRDefault="00000000">
          <w:pPr>
            <w:pStyle w:val="TM1"/>
            <w:tabs>
              <w:tab w:val="right" w:leader="underscore" w:pos="9487"/>
            </w:tabs>
            <w:rPr>
              <w:rFonts w:eastAsiaTheme="minorEastAsia" w:cstheme="minorBidi"/>
              <w:b w:val="0"/>
              <w:bCs w:val="0"/>
              <w:i w:val="0"/>
              <w:iCs w:val="0"/>
              <w:noProof/>
              <w:sz w:val="22"/>
              <w:szCs w:val="22"/>
              <w:lang w:eastAsia="fr-FR"/>
            </w:rPr>
          </w:pPr>
          <w:hyperlink w:anchor="_Toc126251861" w:history="1">
            <w:r w:rsidR="00490A77" w:rsidRPr="00263B6B">
              <w:rPr>
                <w:rStyle w:val="Lienhypertexte"/>
                <w:rFonts w:ascii="Times New Roman" w:hAnsi="Times New Roman" w:cs="Times New Roman"/>
                <w:noProof/>
              </w:rPr>
              <w:t>DEUXIEME PARTIE : ETAT DES LIEUX</w:t>
            </w:r>
            <w:r w:rsidR="00490A77">
              <w:rPr>
                <w:noProof/>
                <w:webHidden/>
              </w:rPr>
              <w:tab/>
            </w:r>
            <w:r w:rsidR="00490A77">
              <w:rPr>
                <w:noProof/>
                <w:webHidden/>
              </w:rPr>
              <w:fldChar w:fldCharType="begin"/>
            </w:r>
            <w:r w:rsidR="00490A77">
              <w:rPr>
                <w:noProof/>
                <w:webHidden/>
              </w:rPr>
              <w:instrText xml:space="preserve"> PAGEREF _Toc126251861 \h </w:instrText>
            </w:r>
            <w:r w:rsidR="00490A77">
              <w:rPr>
                <w:noProof/>
                <w:webHidden/>
              </w:rPr>
            </w:r>
            <w:r w:rsidR="00490A77">
              <w:rPr>
                <w:noProof/>
                <w:webHidden/>
              </w:rPr>
              <w:fldChar w:fldCharType="separate"/>
            </w:r>
            <w:r w:rsidR="00490A77">
              <w:rPr>
                <w:noProof/>
                <w:webHidden/>
              </w:rPr>
              <w:t>12</w:t>
            </w:r>
            <w:r w:rsidR="00490A77">
              <w:rPr>
                <w:noProof/>
                <w:webHidden/>
              </w:rPr>
              <w:fldChar w:fldCharType="end"/>
            </w:r>
          </w:hyperlink>
        </w:p>
        <w:p w14:paraId="1FC18DAC" w14:textId="77777777" w:rsidR="00490A77" w:rsidRDefault="00000000">
          <w:pPr>
            <w:pStyle w:val="TM2"/>
            <w:tabs>
              <w:tab w:val="right" w:leader="underscore" w:pos="9487"/>
            </w:tabs>
            <w:rPr>
              <w:rFonts w:eastAsiaTheme="minorEastAsia" w:cstheme="minorBidi"/>
              <w:b w:val="0"/>
              <w:bCs w:val="0"/>
              <w:noProof/>
              <w:lang w:eastAsia="fr-FR"/>
            </w:rPr>
          </w:pPr>
          <w:hyperlink w:anchor="_Toc126251862" w:history="1">
            <w:r w:rsidR="00490A77" w:rsidRPr="00263B6B">
              <w:rPr>
                <w:rStyle w:val="Lienhypertexte"/>
                <w:rFonts w:ascii="Times New Roman" w:hAnsi="Times New Roman" w:cs="Times New Roman"/>
                <w:noProof/>
              </w:rPr>
              <w:t>I : CADRE JURIDIQUE ET INSTITUTIONNEL</w:t>
            </w:r>
            <w:r w:rsidR="00490A77">
              <w:rPr>
                <w:noProof/>
                <w:webHidden/>
              </w:rPr>
              <w:tab/>
            </w:r>
            <w:r w:rsidR="00490A77">
              <w:rPr>
                <w:noProof/>
                <w:webHidden/>
              </w:rPr>
              <w:fldChar w:fldCharType="begin"/>
            </w:r>
            <w:r w:rsidR="00490A77">
              <w:rPr>
                <w:noProof/>
                <w:webHidden/>
              </w:rPr>
              <w:instrText xml:space="preserve"> PAGEREF _Toc126251862 \h </w:instrText>
            </w:r>
            <w:r w:rsidR="00490A77">
              <w:rPr>
                <w:noProof/>
                <w:webHidden/>
              </w:rPr>
            </w:r>
            <w:r w:rsidR="00490A77">
              <w:rPr>
                <w:noProof/>
                <w:webHidden/>
              </w:rPr>
              <w:fldChar w:fldCharType="separate"/>
            </w:r>
            <w:r w:rsidR="00490A77">
              <w:rPr>
                <w:noProof/>
                <w:webHidden/>
              </w:rPr>
              <w:t>13</w:t>
            </w:r>
            <w:r w:rsidR="00490A77">
              <w:rPr>
                <w:noProof/>
                <w:webHidden/>
              </w:rPr>
              <w:fldChar w:fldCharType="end"/>
            </w:r>
          </w:hyperlink>
        </w:p>
        <w:p w14:paraId="5F64CBFC" w14:textId="77777777" w:rsidR="00490A77" w:rsidRDefault="00000000">
          <w:pPr>
            <w:pStyle w:val="TM3"/>
            <w:tabs>
              <w:tab w:val="left" w:pos="1100"/>
              <w:tab w:val="right" w:leader="underscore" w:pos="9487"/>
            </w:tabs>
            <w:rPr>
              <w:rFonts w:eastAsiaTheme="minorEastAsia" w:cstheme="minorBidi"/>
              <w:noProof/>
              <w:sz w:val="22"/>
              <w:szCs w:val="22"/>
              <w:lang w:eastAsia="fr-FR"/>
            </w:rPr>
          </w:pPr>
          <w:hyperlink w:anchor="_Toc126251863" w:history="1">
            <w:r w:rsidR="00490A77" w:rsidRPr="00263B6B">
              <w:rPr>
                <w:rStyle w:val="Lienhypertexte"/>
                <w:rFonts w:ascii="Times New Roman" w:hAnsi="Times New Roman" w:cs="Times New Roman"/>
                <w:b/>
                <w:noProof/>
              </w:rPr>
              <w:t>1.1.</w:t>
            </w:r>
            <w:r w:rsidR="00490A77">
              <w:rPr>
                <w:rFonts w:eastAsiaTheme="minorEastAsia" w:cstheme="minorBidi"/>
                <w:noProof/>
                <w:sz w:val="22"/>
                <w:szCs w:val="22"/>
                <w:lang w:eastAsia="fr-FR"/>
              </w:rPr>
              <w:tab/>
            </w:r>
            <w:r w:rsidR="00490A77" w:rsidRPr="00263B6B">
              <w:rPr>
                <w:rStyle w:val="Lienhypertexte"/>
                <w:rFonts w:ascii="Times New Roman" w:hAnsi="Times New Roman" w:cs="Times New Roman"/>
                <w:b/>
                <w:noProof/>
              </w:rPr>
              <w:t>Textes législatifs et réglementaires</w:t>
            </w:r>
            <w:r w:rsidR="00490A77">
              <w:rPr>
                <w:noProof/>
                <w:webHidden/>
              </w:rPr>
              <w:tab/>
            </w:r>
            <w:r w:rsidR="00490A77">
              <w:rPr>
                <w:noProof/>
                <w:webHidden/>
              </w:rPr>
              <w:fldChar w:fldCharType="begin"/>
            </w:r>
            <w:r w:rsidR="00490A77">
              <w:rPr>
                <w:noProof/>
                <w:webHidden/>
              </w:rPr>
              <w:instrText xml:space="preserve"> PAGEREF _Toc126251863 \h </w:instrText>
            </w:r>
            <w:r w:rsidR="00490A77">
              <w:rPr>
                <w:noProof/>
                <w:webHidden/>
              </w:rPr>
            </w:r>
            <w:r w:rsidR="00490A77">
              <w:rPr>
                <w:noProof/>
                <w:webHidden/>
              </w:rPr>
              <w:fldChar w:fldCharType="separate"/>
            </w:r>
            <w:r w:rsidR="00490A77">
              <w:rPr>
                <w:noProof/>
                <w:webHidden/>
              </w:rPr>
              <w:t>13</w:t>
            </w:r>
            <w:r w:rsidR="00490A77">
              <w:rPr>
                <w:noProof/>
                <w:webHidden/>
              </w:rPr>
              <w:fldChar w:fldCharType="end"/>
            </w:r>
          </w:hyperlink>
        </w:p>
        <w:p w14:paraId="38F26DD8" w14:textId="77777777" w:rsidR="00490A77" w:rsidRDefault="00000000">
          <w:pPr>
            <w:pStyle w:val="TM3"/>
            <w:tabs>
              <w:tab w:val="left" w:pos="1100"/>
              <w:tab w:val="right" w:leader="underscore" w:pos="9487"/>
            </w:tabs>
            <w:rPr>
              <w:rFonts w:eastAsiaTheme="minorEastAsia" w:cstheme="minorBidi"/>
              <w:noProof/>
              <w:sz w:val="22"/>
              <w:szCs w:val="22"/>
              <w:lang w:eastAsia="fr-FR"/>
            </w:rPr>
          </w:pPr>
          <w:hyperlink w:anchor="_Toc126251864" w:history="1">
            <w:r w:rsidR="00490A77" w:rsidRPr="00263B6B">
              <w:rPr>
                <w:rStyle w:val="Lienhypertexte"/>
                <w:rFonts w:ascii="Times New Roman" w:hAnsi="Times New Roman" w:cs="Times New Roman"/>
                <w:b/>
                <w:noProof/>
              </w:rPr>
              <w:t>1.2.</w:t>
            </w:r>
            <w:r w:rsidR="00490A77">
              <w:rPr>
                <w:rFonts w:eastAsiaTheme="minorEastAsia" w:cstheme="minorBidi"/>
                <w:noProof/>
                <w:sz w:val="22"/>
                <w:szCs w:val="22"/>
                <w:lang w:eastAsia="fr-FR"/>
              </w:rPr>
              <w:tab/>
            </w:r>
            <w:r w:rsidR="00490A77" w:rsidRPr="00263B6B">
              <w:rPr>
                <w:rStyle w:val="Lienhypertexte"/>
                <w:rFonts w:ascii="Times New Roman" w:hAnsi="Times New Roman" w:cs="Times New Roman"/>
                <w:b/>
                <w:noProof/>
              </w:rPr>
              <w:t>Institutions</w:t>
            </w:r>
            <w:r w:rsidR="00490A77">
              <w:rPr>
                <w:noProof/>
                <w:webHidden/>
              </w:rPr>
              <w:tab/>
            </w:r>
            <w:r w:rsidR="00490A77">
              <w:rPr>
                <w:noProof/>
                <w:webHidden/>
              </w:rPr>
              <w:fldChar w:fldCharType="begin"/>
            </w:r>
            <w:r w:rsidR="00490A77">
              <w:rPr>
                <w:noProof/>
                <w:webHidden/>
              </w:rPr>
              <w:instrText xml:space="preserve"> PAGEREF _Toc126251864 \h </w:instrText>
            </w:r>
            <w:r w:rsidR="00490A77">
              <w:rPr>
                <w:noProof/>
                <w:webHidden/>
              </w:rPr>
            </w:r>
            <w:r w:rsidR="00490A77">
              <w:rPr>
                <w:noProof/>
                <w:webHidden/>
              </w:rPr>
              <w:fldChar w:fldCharType="separate"/>
            </w:r>
            <w:r w:rsidR="00490A77">
              <w:rPr>
                <w:noProof/>
                <w:webHidden/>
              </w:rPr>
              <w:t>16</w:t>
            </w:r>
            <w:r w:rsidR="00490A77">
              <w:rPr>
                <w:noProof/>
                <w:webHidden/>
              </w:rPr>
              <w:fldChar w:fldCharType="end"/>
            </w:r>
          </w:hyperlink>
        </w:p>
        <w:p w14:paraId="476CD581" w14:textId="77777777" w:rsidR="00490A77" w:rsidRDefault="00000000">
          <w:pPr>
            <w:pStyle w:val="TM2"/>
            <w:tabs>
              <w:tab w:val="right" w:leader="underscore" w:pos="9487"/>
            </w:tabs>
            <w:rPr>
              <w:rFonts w:eastAsiaTheme="minorEastAsia" w:cstheme="minorBidi"/>
              <w:b w:val="0"/>
              <w:bCs w:val="0"/>
              <w:noProof/>
              <w:lang w:eastAsia="fr-FR"/>
            </w:rPr>
          </w:pPr>
          <w:hyperlink w:anchor="_Toc126251865" w:history="1">
            <w:r w:rsidR="00490A77" w:rsidRPr="00263B6B">
              <w:rPr>
                <w:rStyle w:val="Lienhypertexte"/>
                <w:rFonts w:ascii="Times New Roman" w:hAnsi="Times New Roman" w:cs="Times New Roman"/>
                <w:noProof/>
              </w:rPr>
              <w:t>II. MECANISME DE CREATION ET D’ETABLISSEMENT DES PERSONNES MORALES ET AUTRES CONSTRUCTIONS JURIDIQUES</w:t>
            </w:r>
            <w:r w:rsidR="00490A77">
              <w:rPr>
                <w:noProof/>
                <w:webHidden/>
              </w:rPr>
              <w:tab/>
            </w:r>
            <w:r w:rsidR="00490A77">
              <w:rPr>
                <w:noProof/>
                <w:webHidden/>
              </w:rPr>
              <w:fldChar w:fldCharType="begin"/>
            </w:r>
            <w:r w:rsidR="00490A77">
              <w:rPr>
                <w:noProof/>
                <w:webHidden/>
              </w:rPr>
              <w:instrText xml:space="preserve"> PAGEREF _Toc126251865 \h </w:instrText>
            </w:r>
            <w:r w:rsidR="00490A77">
              <w:rPr>
                <w:noProof/>
                <w:webHidden/>
              </w:rPr>
            </w:r>
            <w:r w:rsidR="00490A77">
              <w:rPr>
                <w:noProof/>
                <w:webHidden/>
              </w:rPr>
              <w:fldChar w:fldCharType="separate"/>
            </w:r>
            <w:r w:rsidR="00490A77">
              <w:rPr>
                <w:noProof/>
                <w:webHidden/>
              </w:rPr>
              <w:t>17</w:t>
            </w:r>
            <w:r w:rsidR="00490A77">
              <w:rPr>
                <w:noProof/>
                <w:webHidden/>
              </w:rPr>
              <w:fldChar w:fldCharType="end"/>
            </w:r>
          </w:hyperlink>
        </w:p>
        <w:p w14:paraId="35478E21"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66" w:history="1">
            <w:r w:rsidR="00490A77" w:rsidRPr="00263B6B">
              <w:rPr>
                <w:rStyle w:val="Lienhypertexte"/>
                <w:noProof/>
              </w:rPr>
              <w:t>2.1. Mécanisme de création des personnes morales</w:t>
            </w:r>
            <w:r w:rsidR="00490A77">
              <w:rPr>
                <w:noProof/>
                <w:webHidden/>
              </w:rPr>
              <w:tab/>
            </w:r>
            <w:r w:rsidR="00490A77">
              <w:rPr>
                <w:noProof/>
                <w:webHidden/>
              </w:rPr>
              <w:fldChar w:fldCharType="begin"/>
            </w:r>
            <w:r w:rsidR="00490A77">
              <w:rPr>
                <w:noProof/>
                <w:webHidden/>
              </w:rPr>
              <w:instrText xml:space="preserve"> PAGEREF _Toc126251866 \h </w:instrText>
            </w:r>
            <w:r w:rsidR="00490A77">
              <w:rPr>
                <w:noProof/>
                <w:webHidden/>
              </w:rPr>
            </w:r>
            <w:r w:rsidR="00490A77">
              <w:rPr>
                <w:noProof/>
                <w:webHidden/>
              </w:rPr>
              <w:fldChar w:fldCharType="separate"/>
            </w:r>
            <w:r w:rsidR="00490A77">
              <w:rPr>
                <w:noProof/>
                <w:webHidden/>
              </w:rPr>
              <w:t>17</w:t>
            </w:r>
            <w:r w:rsidR="00490A77">
              <w:rPr>
                <w:noProof/>
                <w:webHidden/>
              </w:rPr>
              <w:fldChar w:fldCharType="end"/>
            </w:r>
          </w:hyperlink>
        </w:p>
        <w:p w14:paraId="152460C8"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67" w:history="1">
            <w:r w:rsidR="00490A77" w:rsidRPr="00263B6B">
              <w:rPr>
                <w:rStyle w:val="Lienhypertexte"/>
                <w:noProof/>
              </w:rPr>
              <w:t>2.2. Mécanisme de création des constructions juridiques</w:t>
            </w:r>
            <w:r w:rsidR="00490A77">
              <w:rPr>
                <w:noProof/>
                <w:webHidden/>
              </w:rPr>
              <w:tab/>
            </w:r>
            <w:r w:rsidR="00490A77">
              <w:rPr>
                <w:noProof/>
                <w:webHidden/>
              </w:rPr>
              <w:fldChar w:fldCharType="begin"/>
            </w:r>
            <w:r w:rsidR="00490A77">
              <w:rPr>
                <w:noProof/>
                <w:webHidden/>
              </w:rPr>
              <w:instrText xml:space="preserve"> PAGEREF _Toc126251867 \h </w:instrText>
            </w:r>
            <w:r w:rsidR="00490A77">
              <w:rPr>
                <w:noProof/>
                <w:webHidden/>
              </w:rPr>
            </w:r>
            <w:r w:rsidR="00490A77">
              <w:rPr>
                <w:noProof/>
                <w:webHidden/>
              </w:rPr>
              <w:fldChar w:fldCharType="separate"/>
            </w:r>
            <w:r w:rsidR="00490A77">
              <w:rPr>
                <w:noProof/>
                <w:webHidden/>
              </w:rPr>
              <w:t>17</w:t>
            </w:r>
            <w:r w:rsidR="00490A77">
              <w:rPr>
                <w:noProof/>
                <w:webHidden/>
              </w:rPr>
              <w:fldChar w:fldCharType="end"/>
            </w:r>
          </w:hyperlink>
        </w:p>
        <w:p w14:paraId="2FA19580" w14:textId="77777777" w:rsidR="00490A77" w:rsidRDefault="00000000">
          <w:pPr>
            <w:pStyle w:val="TM2"/>
            <w:tabs>
              <w:tab w:val="right" w:leader="underscore" w:pos="9487"/>
            </w:tabs>
            <w:rPr>
              <w:rFonts w:eastAsiaTheme="minorEastAsia" w:cstheme="minorBidi"/>
              <w:b w:val="0"/>
              <w:bCs w:val="0"/>
              <w:noProof/>
              <w:lang w:eastAsia="fr-FR"/>
            </w:rPr>
          </w:pPr>
          <w:hyperlink w:anchor="_Toc126251868" w:history="1">
            <w:r w:rsidR="00490A77" w:rsidRPr="00263B6B">
              <w:rPr>
                <w:rStyle w:val="Lienhypertexte"/>
                <w:rFonts w:ascii="Times New Roman" w:hAnsi="Times New Roman" w:cs="Times New Roman"/>
                <w:noProof/>
              </w:rPr>
              <w:t>III. IDENTIFICATION DES PERSONNES MORALES ET AUTRES CONSTRUCTIONS JURIDIQUES.</w:t>
            </w:r>
            <w:r w:rsidR="00490A77">
              <w:rPr>
                <w:noProof/>
                <w:webHidden/>
              </w:rPr>
              <w:tab/>
            </w:r>
            <w:r w:rsidR="00490A77">
              <w:rPr>
                <w:noProof/>
                <w:webHidden/>
              </w:rPr>
              <w:fldChar w:fldCharType="begin"/>
            </w:r>
            <w:r w:rsidR="00490A77">
              <w:rPr>
                <w:noProof/>
                <w:webHidden/>
              </w:rPr>
              <w:instrText xml:space="preserve"> PAGEREF _Toc126251868 \h </w:instrText>
            </w:r>
            <w:r w:rsidR="00490A77">
              <w:rPr>
                <w:noProof/>
                <w:webHidden/>
              </w:rPr>
            </w:r>
            <w:r w:rsidR="00490A77">
              <w:rPr>
                <w:noProof/>
                <w:webHidden/>
              </w:rPr>
              <w:fldChar w:fldCharType="separate"/>
            </w:r>
            <w:r w:rsidR="00490A77">
              <w:rPr>
                <w:noProof/>
                <w:webHidden/>
              </w:rPr>
              <w:t>18</w:t>
            </w:r>
            <w:r w:rsidR="00490A77">
              <w:rPr>
                <w:noProof/>
                <w:webHidden/>
              </w:rPr>
              <w:fldChar w:fldCharType="end"/>
            </w:r>
          </w:hyperlink>
        </w:p>
        <w:p w14:paraId="64F115DB"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69" w:history="1">
            <w:r w:rsidR="00490A77" w:rsidRPr="00263B6B">
              <w:rPr>
                <w:rStyle w:val="Lienhypertexte"/>
                <w:noProof/>
              </w:rPr>
              <w:t>3.1. Personnes morales</w:t>
            </w:r>
            <w:r w:rsidR="00490A77">
              <w:rPr>
                <w:noProof/>
                <w:webHidden/>
              </w:rPr>
              <w:tab/>
            </w:r>
            <w:r w:rsidR="00490A77">
              <w:rPr>
                <w:noProof/>
                <w:webHidden/>
              </w:rPr>
              <w:fldChar w:fldCharType="begin"/>
            </w:r>
            <w:r w:rsidR="00490A77">
              <w:rPr>
                <w:noProof/>
                <w:webHidden/>
              </w:rPr>
              <w:instrText xml:space="preserve"> PAGEREF _Toc126251869 \h </w:instrText>
            </w:r>
            <w:r w:rsidR="00490A77">
              <w:rPr>
                <w:noProof/>
                <w:webHidden/>
              </w:rPr>
            </w:r>
            <w:r w:rsidR="00490A77">
              <w:rPr>
                <w:noProof/>
                <w:webHidden/>
              </w:rPr>
              <w:fldChar w:fldCharType="separate"/>
            </w:r>
            <w:r w:rsidR="00490A77">
              <w:rPr>
                <w:noProof/>
                <w:webHidden/>
              </w:rPr>
              <w:t>18</w:t>
            </w:r>
            <w:r w:rsidR="00490A77">
              <w:rPr>
                <w:noProof/>
                <w:webHidden/>
              </w:rPr>
              <w:fldChar w:fldCharType="end"/>
            </w:r>
          </w:hyperlink>
        </w:p>
        <w:p w14:paraId="0FE061E8"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0" w:history="1">
            <w:r w:rsidR="00490A77" w:rsidRPr="00263B6B">
              <w:rPr>
                <w:rStyle w:val="Lienhypertexte"/>
                <w:noProof/>
              </w:rPr>
              <w:t>3.2. CONSTRUCTIONS JURIDIQUES</w:t>
            </w:r>
            <w:r w:rsidR="00490A77">
              <w:rPr>
                <w:noProof/>
                <w:webHidden/>
              </w:rPr>
              <w:tab/>
            </w:r>
            <w:r w:rsidR="00490A77">
              <w:rPr>
                <w:noProof/>
                <w:webHidden/>
              </w:rPr>
              <w:fldChar w:fldCharType="begin"/>
            </w:r>
            <w:r w:rsidR="00490A77">
              <w:rPr>
                <w:noProof/>
                <w:webHidden/>
              </w:rPr>
              <w:instrText xml:space="preserve"> PAGEREF _Toc126251870 \h </w:instrText>
            </w:r>
            <w:r w:rsidR="00490A77">
              <w:rPr>
                <w:noProof/>
                <w:webHidden/>
              </w:rPr>
            </w:r>
            <w:r w:rsidR="00490A77">
              <w:rPr>
                <w:noProof/>
                <w:webHidden/>
              </w:rPr>
              <w:fldChar w:fldCharType="separate"/>
            </w:r>
            <w:r w:rsidR="00490A77">
              <w:rPr>
                <w:noProof/>
                <w:webHidden/>
              </w:rPr>
              <w:t>22</w:t>
            </w:r>
            <w:r w:rsidR="00490A77">
              <w:rPr>
                <w:noProof/>
                <w:webHidden/>
              </w:rPr>
              <w:fldChar w:fldCharType="end"/>
            </w:r>
          </w:hyperlink>
        </w:p>
        <w:p w14:paraId="2E18B19D" w14:textId="77777777" w:rsidR="00490A77" w:rsidRDefault="00000000">
          <w:pPr>
            <w:pStyle w:val="TM2"/>
            <w:tabs>
              <w:tab w:val="right" w:leader="underscore" w:pos="9487"/>
            </w:tabs>
            <w:rPr>
              <w:rFonts w:eastAsiaTheme="minorEastAsia" w:cstheme="minorBidi"/>
              <w:b w:val="0"/>
              <w:bCs w:val="0"/>
              <w:noProof/>
              <w:lang w:eastAsia="fr-FR"/>
            </w:rPr>
          </w:pPr>
          <w:hyperlink w:anchor="_Toc126251871" w:history="1">
            <w:r w:rsidR="00490A77" w:rsidRPr="00263B6B">
              <w:rPr>
                <w:rStyle w:val="Lienhypertexte"/>
                <w:rFonts w:ascii="Times New Roman" w:hAnsi="Times New Roman" w:cs="Times New Roman"/>
                <w:noProof/>
              </w:rPr>
              <w:t>IV. OBLIGATIONS DES DILIGENCES EN MATIERE DE LBC/FT</w:t>
            </w:r>
            <w:r w:rsidR="00490A77">
              <w:rPr>
                <w:noProof/>
                <w:webHidden/>
              </w:rPr>
              <w:tab/>
            </w:r>
            <w:r w:rsidR="00490A77">
              <w:rPr>
                <w:noProof/>
                <w:webHidden/>
              </w:rPr>
              <w:fldChar w:fldCharType="begin"/>
            </w:r>
            <w:r w:rsidR="00490A77">
              <w:rPr>
                <w:noProof/>
                <w:webHidden/>
              </w:rPr>
              <w:instrText xml:space="preserve"> PAGEREF _Toc126251871 \h </w:instrText>
            </w:r>
            <w:r w:rsidR="00490A77">
              <w:rPr>
                <w:noProof/>
                <w:webHidden/>
              </w:rPr>
            </w:r>
            <w:r w:rsidR="00490A77">
              <w:rPr>
                <w:noProof/>
                <w:webHidden/>
              </w:rPr>
              <w:fldChar w:fldCharType="separate"/>
            </w:r>
            <w:r w:rsidR="00490A77">
              <w:rPr>
                <w:noProof/>
                <w:webHidden/>
              </w:rPr>
              <w:t>22</w:t>
            </w:r>
            <w:r w:rsidR="00490A77">
              <w:rPr>
                <w:noProof/>
                <w:webHidden/>
              </w:rPr>
              <w:fldChar w:fldCharType="end"/>
            </w:r>
          </w:hyperlink>
        </w:p>
        <w:p w14:paraId="04628D96"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2" w:history="1">
            <w:r w:rsidR="00490A77" w:rsidRPr="00263B6B">
              <w:rPr>
                <w:rStyle w:val="Lienhypertexte"/>
                <w:noProof/>
              </w:rPr>
              <w:t>4.1. Obligations relatives à l’évaluation des risques BC/FT</w:t>
            </w:r>
            <w:r w:rsidR="00490A77">
              <w:rPr>
                <w:noProof/>
                <w:webHidden/>
              </w:rPr>
              <w:tab/>
            </w:r>
            <w:r w:rsidR="00490A77">
              <w:rPr>
                <w:noProof/>
                <w:webHidden/>
              </w:rPr>
              <w:fldChar w:fldCharType="begin"/>
            </w:r>
            <w:r w:rsidR="00490A77">
              <w:rPr>
                <w:noProof/>
                <w:webHidden/>
              </w:rPr>
              <w:instrText xml:space="preserve"> PAGEREF _Toc126251872 \h </w:instrText>
            </w:r>
            <w:r w:rsidR="00490A77">
              <w:rPr>
                <w:noProof/>
                <w:webHidden/>
              </w:rPr>
            </w:r>
            <w:r w:rsidR="00490A77">
              <w:rPr>
                <w:noProof/>
                <w:webHidden/>
              </w:rPr>
              <w:fldChar w:fldCharType="separate"/>
            </w:r>
            <w:r w:rsidR="00490A77">
              <w:rPr>
                <w:noProof/>
                <w:webHidden/>
              </w:rPr>
              <w:t>22</w:t>
            </w:r>
            <w:r w:rsidR="00490A77">
              <w:rPr>
                <w:noProof/>
                <w:webHidden/>
              </w:rPr>
              <w:fldChar w:fldCharType="end"/>
            </w:r>
          </w:hyperlink>
        </w:p>
        <w:p w14:paraId="53DE53C9"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3" w:history="1">
            <w:r w:rsidR="00490A77" w:rsidRPr="00263B6B">
              <w:rPr>
                <w:rStyle w:val="Lienhypertexte"/>
                <w:noProof/>
              </w:rPr>
              <w:t>4.2. Obligations de vigilance à l’égard de la Clientèle :</w:t>
            </w:r>
            <w:r w:rsidR="00490A77">
              <w:rPr>
                <w:noProof/>
                <w:webHidden/>
              </w:rPr>
              <w:tab/>
            </w:r>
            <w:r w:rsidR="00490A77">
              <w:rPr>
                <w:noProof/>
                <w:webHidden/>
              </w:rPr>
              <w:fldChar w:fldCharType="begin"/>
            </w:r>
            <w:r w:rsidR="00490A77">
              <w:rPr>
                <w:noProof/>
                <w:webHidden/>
              </w:rPr>
              <w:instrText xml:space="preserve"> PAGEREF _Toc126251873 \h </w:instrText>
            </w:r>
            <w:r w:rsidR="00490A77">
              <w:rPr>
                <w:noProof/>
                <w:webHidden/>
              </w:rPr>
            </w:r>
            <w:r w:rsidR="00490A77">
              <w:rPr>
                <w:noProof/>
                <w:webHidden/>
              </w:rPr>
              <w:fldChar w:fldCharType="separate"/>
            </w:r>
            <w:r w:rsidR="00490A77">
              <w:rPr>
                <w:noProof/>
                <w:webHidden/>
              </w:rPr>
              <w:t>23</w:t>
            </w:r>
            <w:r w:rsidR="00490A77">
              <w:rPr>
                <w:noProof/>
                <w:webHidden/>
              </w:rPr>
              <w:fldChar w:fldCharType="end"/>
            </w:r>
          </w:hyperlink>
        </w:p>
        <w:p w14:paraId="13412AE0"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4" w:history="1">
            <w:r w:rsidR="00490A77" w:rsidRPr="00263B6B">
              <w:rPr>
                <w:rStyle w:val="Lienhypertexte"/>
                <w:noProof/>
              </w:rPr>
              <w:t>4.2.1. Obligations de vigilance constante</w:t>
            </w:r>
            <w:r w:rsidR="00490A77">
              <w:rPr>
                <w:noProof/>
                <w:webHidden/>
              </w:rPr>
              <w:tab/>
            </w:r>
            <w:r w:rsidR="00490A77">
              <w:rPr>
                <w:noProof/>
                <w:webHidden/>
              </w:rPr>
              <w:fldChar w:fldCharType="begin"/>
            </w:r>
            <w:r w:rsidR="00490A77">
              <w:rPr>
                <w:noProof/>
                <w:webHidden/>
              </w:rPr>
              <w:instrText xml:space="preserve"> PAGEREF _Toc126251874 \h </w:instrText>
            </w:r>
            <w:r w:rsidR="00490A77">
              <w:rPr>
                <w:noProof/>
                <w:webHidden/>
              </w:rPr>
            </w:r>
            <w:r w:rsidR="00490A77">
              <w:rPr>
                <w:noProof/>
                <w:webHidden/>
              </w:rPr>
              <w:fldChar w:fldCharType="separate"/>
            </w:r>
            <w:r w:rsidR="00490A77">
              <w:rPr>
                <w:noProof/>
                <w:webHidden/>
              </w:rPr>
              <w:t>23</w:t>
            </w:r>
            <w:r w:rsidR="00490A77">
              <w:rPr>
                <w:noProof/>
                <w:webHidden/>
              </w:rPr>
              <w:fldChar w:fldCharType="end"/>
            </w:r>
          </w:hyperlink>
        </w:p>
        <w:p w14:paraId="46169995"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5" w:history="1">
            <w:r w:rsidR="00490A77" w:rsidRPr="00263B6B">
              <w:rPr>
                <w:rStyle w:val="Lienhypertexte"/>
                <w:noProof/>
              </w:rPr>
              <w:t>4.2.2. Obligations de vigilance simplifiée</w:t>
            </w:r>
            <w:r w:rsidR="00490A77">
              <w:rPr>
                <w:noProof/>
                <w:webHidden/>
              </w:rPr>
              <w:tab/>
            </w:r>
            <w:r w:rsidR="00490A77">
              <w:rPr>
                <w:noProof/>
                <w:webHidden/>
              </w:rPr>
              <w:fldChar w:fldCharType="begin"/>
            </w:r>
            <w:r w:rsidR="00490A77">
              <w:rPr>
                <w:noProof/>
                <w:webHidden/>
              </w:rPr>
              <w:instrText xml:space="preserve"> PAGEREF _Toc126251875 \h </w:instrText>
            </w:r>
            <w:r w:rsidR="00490A77">
              <w:rPr>
                <w:noProof/>
                <w:webHidden/>
              </w:rPr>
            </w:r>
            <w:r w:rsidR="00490A77">
              <w:rPr>
                <w:noProof/>
                <w:webHidden/>
              </w:rPr>
              <w:fldChar w:fldCharType="separate"/>
            </w:r>
            <w:r w:rsidR="00490A77">
              <w:rPr>
                <w:noProof/>
                <w:webHidden/>
              </w:rPr>
              <w:t>23</w:t>
            </w:r>
            <w:r w:rsidR="00490A77">
              <w:rPr>
                <w:noProof/>
                <w:webHidden/>
              </w:rPr>
              <w:fldChar w:fldCharType="end"/>
            </w:r>
          </w:hyperlink>
        </w:p>
        <w:p w14:paraId="6C0ECA89"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6" w:history="1">
            <w:r w:rsidR="00490A77" w:rsidRPr="00263B6B">
              <w:rPr>
                <w:rStyle w:val="Lienhypertexte"/>
                <w:noProof/>
              </w:rPr>
              <w:t>4.2.3.  Obligations de vigilance renforcée</w:t>
            </w:r>
            <w:r w:rsidR="00490A77">
              <w:rPr>
                <w:noProof/>
                <w:webHidden/>
              </w:rPr>
              <w:tab/>
            </w:r>
            <w:r w:rsidR="00490A77">
              <w:rPr>
                <w:noProof/>
                <w:webHidden/>
              </w:rPr>
              <w:fldChar w:fldCharType="begin"/>
            </w:r>
            <w:r w:rsidR="00490A77">
              <w:rPr>
                <w:noProof/>
                <w:webHidden/>
              </w:rPr>
              <w:instrText xml:space="preserve"> PAGEREF _Toc126251876 \h </w:instrText>
            </w:r>
            <w:r w:rsidR="00490A77">
              <w:rPr>
                <w:noProof/>
                <w:webHidden/>
              </w:rPr>
            </w:r>
            <w:r w:rsidR="00490A77">
              <w:rPr>
                <w:noProof/>
                <w:webHidden/>
              </w:rPr>
              <w:fldChar w:fldCharType="separate"/>
            </w:r>
            <w:r w:rsidR="00490A77">
              <w:rPr>
                <w:noProof/>
                <w:webHidden/>
              </w:rPr>
              <w:t>24</w:t>
            </w:r>
            <w:r w:rsidR="00490A77">
              <w:rPr>
                <w:noProof/>
                <w:webHidden/>
              </w:rPr>
              <w:fldChar w:fldCharType="end"/>
            </w:r>
          </w:hyperlink>
        </w:p>
        <w:p w14:paraId="0E7CC8B5"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7" w:history="1">
            <w:r w:rsidR="00490A77" w:rsidRPr="00263B6B">
              <w:rPr>
                <w:rStyle w:val="Lienhypertexte"/>
                <w:noProof/>
              </w:rPr>
              <w:t>4.2.4. Obligations d’appliquer les sanctions financières ciblées des NU et les décisions de gel administratif de l’autorité compétente :</w:t>
            </w:r>
            <w:r w:rsidR="00490A77">
              <w:rPr>
                <w:noProof/>
                <w:webHidden/>
              </w:rPr>
              <w:tab/>
            </w:r>
            <w:r w:rsidR="00490A77">
              <w:rPr>
                <w:noProof/>
                <w:webHidden/>
              </w:rPr>
              <w:fldChar w:fldCharType="begin"/>
            </w:r>
            <w:r w:rsidR="00490A77">
              <w:rPr>
                <w:noProof/>
                <w:webHidden/>
              </w:rPr>
              <w:instrText xml:space="preserve"> PAGEREF _Toc126251877 \h </w:instrText>
            </w:r>
            <w:r w:rsidR="00490A77">
              <w:rPr>
                <w:noProof/>
                <w:webHidden/>
              </w:rPr>
            </w:r>
            <w:r w:rsidR="00490A77">
              <w:rPr>
                <w:noProof/>
                <w:webHidden/>
              </w:rPr>
              <w:fldChar w:fldCharType="separate"/>
            </w:r>
            <w:r w:rsidR="00490A77">
              <w:rPr>
                <w:noProof/>
                <w:webHidden/>
              </w:rPr>
              <w:t>24</w:t>
            </w:r>
            <w:r w:rsidR="00490A77">
              <w:rPr>
                <w:noProof/>
                <w:webHidden/>
              </w:rPr>
              <w:fldChar w:fldCharType="end"/>
            </w:r>
          </w:hyperlink>
        </w:p>
        <w:p w14:paraId="642C809F"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8" w:history="1">
            <w:r w:rsidR="00490A77" w:rsidRPr="00263B6B">
              <w:rPr>
                <w:rStyle w:val="Lienhypertexte"/>
                <w:noProof/>
              </w:rPr>
              <w:t>4.2.5. Obligation de désigner un déclarant et/ou correspondant à la CENTIF</w:t>
            </w:r>
            <w:r w:rsidR="00490A77">
              <w:rPr>
                <w:noProof/>
                <w:webHidden/>
              </w:rPr>
              <w:tab/>
            </w:r>
            <w:r w:rsidR="00490A77">
              <w:rPr>
                <w:noProof/>
                <w:webHidden/>
              </w:rPr>
              <w:fldChar w:fldCharType="begin"/>
            </w:r>
            <w:r w:rsidR="00490A77">
              <w:rPr>
                <w:noProof/>
                <w:webHidden/>
              </w:rPr>
              <w:instrText xml:space="preserve"> PAGEREF _Toc126251878 \h </w:instrText>
            </w:r>
            <w:r w:rsidR="00490A77">
              <w:rPr>
                <w:noProof/>
                <w:webHidden/>
              </w:rPr>
            </w:r>
            <w:r w:rsidR="00490A77">
              <w:rPr>
                <w:noProof/>
                <w:webHidden/>
              </w:rPr>
              <w:fldChar w:fldCharType="separate"/>
            </w:r>
            <w:r w:rsidR="00490A77">
              <w:rPr>
                <w:noProof/>
                <w:webHidden/>
              </w:rPr>
              <w:t>24</w:t>
            </w:r>
            <w:r w:rsidR="00490A77">
              <w:rPr>
                <w:noProof/>
                <w:webHidden/>
              </w:rPr>
              <w:fldChar w:fldCharType="end"/>
            </w:r>
          </w:hyperlink>
        </w:p>
        <w:p w14:paraId="1A4F4ECC"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79" w:history="1">
            <w:r w:rsidR="00490A77" w:rsidRPr="00263B6B">
              <w:rPr>
                <w:rStyle w:val="Lienhypertexte"/>
                <w:noProof/>
              </w:rPr>
              <w:t>4.2.6. Obligations de déclaration d’opérations suspectes (DOS)</w:t>
            </w:r>
            <w:r w:rsidR="00490A77">
              <w:rPr>
                <w:noProof/>
                <w:webHidden/>
              </w:rPr>
              <w:tab/>
            </w:r>
            <w:r w:rsidR="00490A77">
              <w:rPr>
                <w:noProof/>
                <w:webHidden/>
              </w:rPr>
              <w:fldChar w:fldCharType="begin"/>
            </w:r>
            <w:r w:rsidR="00490A77">
              <w:rPr>
                <w:noProof/>
                <w:webHidden/>
              </w:rPr>
              <w:instrText xml:space="preserve"> PAGEREF _Toc126251879 \h </w:instrText>
            </w:r>
            <w:r w:rsidR="00490A77">
              <w:rPr>
                <w:noProof/>
                <w:webHidden/>
              </w:rPr>
            </w:r>
            <w:r w:rsidR="00490A77">
              <w:rPr>
                <w:noProof/>
                <w:webHidden/>
              </w:rPr>
              <w:fldChar w:fldCharType="separate"/>
            </w:r>
            <w:r w:rsidR="00490A77">
              <w:rPr>
                <w:noProof/>
                <w:webHidden/>
              </w:rPr>
              <w:t>24</w:t>
            </w:r>
            <w:r w:rsidR="00490A77">
              <w:rPr>
                <w:noProof/>
                <w:webHidden/>
              </w:rPr>
              <w:fldChar w:fldCharType="end"/>
            </w:r>
          </w:hyperlink>
        </w:p>
        <w:p w14:paraId="6F8EA553"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80" w:history="1">
            <w:r w:rsidR="00490A77" w:rsidRPr="00263B6B">
              <w:rPr>
                <w:rStyle w:val="Lienhypertexte"/>
                <w:noProof/>
              </w:rPr>
              <w:t>4.2.7. Obligation de déclaration des transactions en espèces</w:t>
            </w:r>
            <w:r w:rsidR="00490A77">
              <w:rPr>
                <w:noProof/>
                <w:webHidden/>
              </w:rPr>
              <w:tab/>
            </w:r>
            <w:r w:rsidR="00490A77">
              <w:rPr>
                <w:noProof/>
                <w:webHidden/>
              </w:rPr>
              <w:fldChar w:fldCharType="begin"/>
            </w:r>
            <w:r w:rsidR="00490A77">
              <w:rPr>
                <w:noProof/>
                <w:webHidden/>
              </w:rPr>
              <w:instrText xml:space="preserve"> PAGEREF _Toc126251880 \h </w:instrText>
            </w:r>
            <w:r w:rsidR="00490A77">
              <w:rPr>
                <w:noProof/>
                <w:webHidden/>
              </w:rPr>
            </w:r>
            <w:r w:rsidR="00490A77">
              <w:rPr>
                <w:noProof/>
                <w:webHidden/>
              </w:rPr>
              <w:fldChar w:fldCharType="separate"/>
            </w:r>
            <w:r w:rsidR="00490A77">
              <w:rPr>
                <w:noProof/>
                <w:webHidden/>
              </w:rPr>
              <w:t>24</w:t>
            </w:r>
            <w:r w:rsidR="00490A77">
              <w:rPr>
                <w:noProof/>
                <w:webHidden/>
              </w:rPr>
              <w:fldChar w:fldCharType="end"/>
            </w:r>
          </w:hyperlink>
        </w:p>
        <w:p w14:paraId="4E694A5A"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81" w:history="1">
            <w:r w:rsidR="00490A77" w:rsidRPr="00263B6B">
              <w:rPr>
                <w:rStyle w:val="Lienhypertexte"/>
                <w:noProof/>
              </w:rPr>
              <w:t>4.2.9. Obligations de conservation de document</w:t>
            </w:r>
            <w:r w:rsidR="00490A77">
              <w:rPr>
                <w:noProof/>
                <w:webHidden/>
              </w:rPr>
              <w:tab/>
            </w:r>
            <w:r w:rsidR="00490A77">
              <w:rPr>
                <w:noProof/>
                <w:webHidden/>
              </w:rPr>
              <w:fldChar w:fldCharType="begin"/>
            </w:r>
            <w:r w:rsidR="00490A77">
              <w:rPr>
                <w:noProof/>
                <w:webHidden/>
              </w:rPr>
              <w:instrText xml:space="preserve"> PAGEREF _Toc126251881 \h </w:instrText>
            </w:r>
            <w:r w:rsidR="00490A77">
              <w:rPr>
                <w:noProof/>
                <w:webHidden/>
              </w:rPr>
            </w:r>
            <w:r w:rsidR="00490A77">
              <w:rPr>
                <w:noProof/>
                <w:webHidden/>
              </w:rPr>
              <w:fldChar w:fldCharType="separate"/>
            </w:r>
            <w:r w:rsidR="00490A77">
              <w:rPr>
                <w:noProof/>
                <w:webHidden/>
              </w:rPr>
              <w:t>25</w:t>
            </w:r>
            <w:r w:rsidR="00490A77">
              <w:rPr>
                <w:noProof/>
                <w:webHidden/>
              </w:rPr>
              <w:fldChar w:fldCharType="end"/>
            </w:r>
          </w:hyperlink>
        </w:p>
        <w:p w14:paraId="3856396F"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82" w:history="1">
            <w:r w:rsidR="00490A77" w:rsidRPr="00263B6B">
              <w:rPr>
                <w:rStyle w:val="Lienhypertexte"/>
                <w:noProof/>
              </w:rPr>
              <w:t>4.3. Responsabilité pénale</w:t>
            </w:r>
            <w:r w:rsidR="00490A77">
              <w:rPr>
                <w:noProof/>
                <w:webHidden/>
              </w:rPr>
              <w:tab/>
            </w:r>
            <w:r w:rsidR="00490A77">
              <w:rPr>
                <w:noProof/>
                <w:webHidden/>
              </w:rPr>
              <w:fldChar w:fldCharType="begin"/>
            </w:r>
            <w:r w:rsidR="00490A77">
              <w:rPr>
                <w:noProof/>
                <w:webHidden/>
              </w:rPr>
              <w:instrText xml:space="preserve"> PAGEREF _Toc126251882 \h </w:instrText>
            </w:r>
            <w:r w:rsidR="00490A77">
              <w:rPr>
                <w:noProof/>
                <w:webHidden/>
              </w:rPr>
            </w:r>
            <w:r w:rsidR="00490A77">
              <w:rPr>
                <w:noProof/>
                <w:webHidden/>
              </w:rPr>
              <w:fldChar w:fldCharType="separate"/>
            </w:r>
            <w:r w:rsidR="00490A77">
              <w:rPr>
                <w:noProof/>
                <w:webHidden/>
              </w:rPr>
              <w:t>25</w:t>
            </w:r>
            <w:r w:rsidR="00490A77">
              <w:rPr>
                <w:noProof/>
                <w:webHidden/>
              </w:rPr>
              <w:fldChar w:fldCharType="end"/>
            </w:r>
          </w:hyperlink>
        </w:p>
        <w:p w14:paraId="5EE62FE3"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83" w:history="1">
            <w:r w:rsidR="00490A77" w:rsidRPr="00263B6B">
              <w:rPr>
                <w:rStyle w:val="Lienhypertexte"/>
                <w:noProof/>
              </w:rPr>
              <w:t>5.1. Entraide judiciaire</w:t>
            </w:r>
            <w:r w:rsidR="00490A77">
              <w:rPr>
                <w:noProof/>
                <w:webHidden/>
              </w:rPr>
              <w:tab/>
            </w:r>
            <w:r w:rsidR="00490A77">
              <w:rPr>
                <w:noProof/>
                <w:webHidden/>
              </w:rPr>
              <w:fldChar w:fldCharType="begin"/>
            </w:r>
            <w:r w:rsidR="00490A77">
              <w:rPr>
                <w:noProof/>
                <w:webHidden/>
              </w:rPr>
              <w:instrText xml:space="preserve"> PAGEREF _Toc126251883 \h </w:instrText>
            </w:r>
            <w:r w:rsidR="00490A77">
              <w:rPr>
                <w:noProof/>
                <w:webHidden/>
              </w:rPr>
            </w:r>
            <w:r w:rsidR="00490A77">
              <w:rPr>
                <w:noProof/>
                <w:webHidden/>
              </w:rPr>
              <w:fldChar w:fldCharType="separate"/>
            </w:r>
            <w:r w:rsidR="00490A77">
              <w:rPr>
                <w:noProof/>
                <w:webHidden/>
              </w:rPr>
              <w:t>26</w:t>
            </w:r>
            <w:r w:rsidR="00490A77">
              <w:rPr>
                <w:noProof/>
                <w:webHidden/>
              </w:rPr>
              <w:fldChar w:fldCharType="end"/>
            </w:r>
          </w:hyperlink>
        </w:p>
        <w:p w14:paraId="3FC80C21"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84" w:history="1">
            <w:r w:rsidR="00490A77" w:rsidRPr="00263B6B">
              <w:rPr>
                <w:rStyle w:val="Lienhypertexte"/>
                <w:noProof/>
              </w:rPr>
              <w:t>5.2. Autres formes de coopération judiciaire</w:t>
            </w:r>
            <w:r w:rsidR="00490A77">
              <w:rPr>
                <w:noProof/>
                <w:webHidden/>
              </w:rPr>
              <w:tab/>
            </w:r>
            <w:r w:rsidR="00490A77">
              <w:rPr>
                <w:noProof/>
                <w:webHidden/>
              </w:rPr>
              <w:fldChar w:fldCharType="begin"/>
            </w:r>
            <w:r w:rsidR="00490A77">
              <w:rPr>
                <w:noProof/>
                <w:webHidden/>
              </w:rPr>
              <w:instrText xml:space="preserve"> PAGEREF _Toc126251884 \h </w:instrText>
            </w:r>
            <w:r w:rsidR="00490A77">
              <w:rPr>
                <w:noProof/>
                <w:webHidden/>
              </w:rPr>
            </w:r>
            <w:r w:rsidR="00490A77">
              <w:rPr>
                <w:noProof/>
                <w:webHidden/>
              </w:rPr>
              <w:fldChar w:fldCharType="separate"/>
            </w:r>
            <w:r w:rsidR="00490A77">
              <w:rPr>
                <w:noProof/>
                <w:webHidden/>
              </w:rPr>
              <w:t>27</w:t>
            </w:r>
            <w:r w:rsidR="00490A77">
              <w:rPr>
                <w:noProof/>
                <w:webHidden/>
              </w:rPr>
              <w:fldChar w:fldCharType="end"/>
            </w:r>
          </w:hyperlink>
        </w:p>
        <w:p w14:paraId="788620B5" w14:textId="77777777" w:rsidR="00490A77" w:rsidRDefault="00000000">
          <w:pPr>
            <w:pStyle w:val="TM2"/>
            <w:tabs>
              <w:tab w:val="right" w:leader="underscore" w:pos="9487"/>
            </w:tabs>
            <w:rPr>
              <w:rFonts w:eastAsiaTheme="minorEastAsia" w:cstheme="minorBidi"/>
              <w:b w:val="0"/>
              <w:bCs w:val="0"/>
              <w:noProof/>
              <w:lang w:eastAsia="fr-FR"/>
            </w:rPr>
          </w:pPr>
          <w:hyperlink w:anchor="_Toc126251885" w:history="1">
            <w:r w:rsidR="00490A77" w:rsidRPr="00263B6B">
              <w:rPr>
                <w:rStyle w:val="Lienhypertexte"/>
                <w:rFonts w:ascii="Times New Roman" w:hAnsi="Times New Roman" w:cs="Times New Roman"/>
                <w:noProof/>
              </w:rPr>
              <w:t>VI. INSUFFISANCES DES LOIS, REGLEMENTS ET MECANISMES</w:t>
            </w:r>
            <w:r w:rsidR="00490A77">
              <w:rPr>
                <w:noProof/>
                <w:webHidden/>
              </w:rPr>
              <w:tab/>
            </w:r>
            <w:r w:rsidR="00490A77">
              <w:rPr>
                <w:noProof/>
                <w:webHidden/>
              </w:rPr>
              <w:fldChar w:fldCharType="begin"/>
            </w:r>
            <w:r w:rsidR="00490A77">
              <w:rPr>
                <w:noProof/>
                <w:webHidden/>
              </w:rPr>
              <w:instrText xml:space="preserve"> PAGEREF _Toc126251885 \h </w:instrText>
            </w:r>
            <w:r w:rsidR="00490A77">
              <w:rPr>
                <w:noProof/>
                <w:webHidden/>
              </w:rPr>
            </w:r>
            <w:r w:rsidR="00490A77">
              <w:rPr>
                <w:noProof/>
                <w:webHidden/>
              </w:rPr>
              <w:fldChar w:fldCharType="separate"/>
            </w:r>
            <w:r w:rsidR="00490A77">
              <w:rPr>
                <w:noProof/>
                <w:webHidden/>
              </w:rPr>
              <w:t>28</w:t>
            </w:r>
            <w:r w:rsidR="00490A77">
              <w:rPr>
                <w:noProof/>
                <w:webHidden/>
              </w:rPr>
              <w:fldChar w:fldCharType="end"/>
            </w:r>
          </w:hyperlink>
        </w:p>
        <w:p w14:paraId="4CA1ADF9" w14:textId="77777777" w:rsidR="00490A77" w:rsidRDefault="00000000">
          <w:pPr>
            <w:pStyle w:val="TM1"/>
            <w:tabs>
              <w:tab w:val="right" w:leader="underscore" w:pos="9487"/>
            </w:tabs>
            <w:rPr>
              <w:rFonts w:eastAsiaTheme="minorEastAsia" w:cstheme="minorBidi"/>
              <w:b w:val="0"/>
              <w:bCs w:val="0"/>
              <w:i w:val="0"/>
              <w:iCs w:val="0"/>
              <w:noProof/>
              <w:sz w:val="22"/>
              <w:szCs w:val="22"/>
              <w:lang w:eastAsia="fr-FR"/>
            </w:rPr>
          </w:pPr>
          <w:hyperlink w:anchor="_Toc126251886" w:history="1">
            <w:r w:rsidR="00490A77" w:rsidRPr="00263B6B">
              <w:rPr>
                <w:rStyle w:val="Lienhypertexte"/>
                <w:rFonts w:ascii="Times New Roman" w:hAnsi="Times New Roman" w:cs="Times New Roman"/>
                <w:noProof/>
              </w:rPr>
              <w:t>TROISIEME PARTIE : ÉVALUATION DES RISQUES DE BLANCHIMENT DE CAPITAUX ET DE FINANCEMENT DU TERRORISME AUXQUELS LES PERSONNES MORALES ET LES CONSTRUCTIONS JURIDIQUES SONT EXPOSEES</w:t>
            </w:r>
            <w:r w:rsidR="00490A77">
              <w:rPr>
                <w:noProof/>
                <w:webHidden/>
              </w:rPr>
              <w:tab/>
            </w:r>
            <w:r w:rsidR="00490A77">
              <w:rPr>
                <w:noProof/>
                <w:webHidden/>
              </w:rPr>
              <w:fldChar w:fldCharType="begin"/>
            </w:r>
            <w:r w:rsidR="00490A77">
              <w:rPr>
                <w:noProof/>
                <w:webHidden/>
              </w:rPr>
              <w:instrText xml:space="preserve"> PAGEREF _Toc126251886 \h </w:instrText>
            </w:r>
            <w:r w:rsidR="00490A77">
              <w:rPr>
                <w:noProof/>
                <w:webHidden/>
              </w:rPr>
            </w:r>
            <w:r w:rsidR="00490A77">
              <w:rPr>
                <w:noProof/>
                <w:webHidden/>
              </w:rPr>
              <w:fldChar w:fldCharType="separate"/>
            </w:r>
            <w:r w:rsidR="00490A77">
              <w:rPr>
                <w:noProof/>
                <w:webHidden/>
              </w:rPr>
              <w:t>30</w:t>
            </w:r>
            <w:r w:rsidR="00490A77">
              <w:rPr>
                <w:noProof/>
                <w:webHidden/>
              </w:rPr>
              <w:fldChar w:fldCharType="end"/>
            </w:r>
          </w:hyperlink>
        </w:p>
        <w:p w14:paraId="719C0AC9" w14:textId="77777777" w:rsidR="00490A77" w:rsidRDefault="00000000">
          <w:pPr>
            <w:pStyle w:val="TM2"/>
            <w:tabs>
              <w:tab w:val="right" w:leader="underscore" w:pos="9487"/>
            </w:tabs>
            <w:rPr>
              <w:rFonts w:eastAsiaTheme="minorEastAsia" w:cstheme="minorBidi"/>
              <w:b w:val="0"/>
              <w:bCs w:val="0"/>
              <w:noProof/>
              <w:lang w:eastAsia="fr-FR"/>
            </w:rPr>
          </w:pPr>
          <w:hyperlink w:anchor="_Toc126251887" w:history="1">
            <w:r w:rsidR="00490A77" w:rsidRPr="00263B6B">
              <w:rPr>
                <w:rStyle w:val="Lienhypertexte"/>
                <w:rFonts w:ascii="Times New Roman" w:hAnsi="Times New Roman" w:cs="Times New Roman"/>
                <w:noProof/>
              </w:rPr>
              <w:t>I. METHODOLOGIE UTILISEE (Comparaison avec la méthodologie de l'ENR 2018)</w:t>
            </w:r>
            <w:r w:rsidR="00490A77">
              <w:rPr>
                <w:noProof/>
                <w:webHidden/>
              </w:rPr>
              <w:tab/>
            </w:r>
            <w:r w:rsidR="00490A77">
              <w:rPr>
                <w:noProof/>
                <w:webHidden/>
              </w:rPr>
              <w:fldChar w:fldCharType="begin"/>
            </w:r>
            <w:r w:rsidR="00490A77">
              <w:rPr>
                <w:noProof/>
                <w:webHidden/>
              </w:rPr>
              <w:instrText xml:space="preserve"> PAGEREF _Toc126251887 \h </w:instrText>
            </w:r>
            <w:r w:rsidR="00490A77">
              <w:rPr>
                <w:noProof/>
                <w:webHidden/>
              </w:rPr>
            </w:r>
            <w:r w:rsidR="00490A77">
              <w:rPr>
                <w:noProof/>
                <w:webHidden/>
              </w:rPr>
              <w:fldChar w:fldCharType="separate"/>
            </w:r>
            <w:r w:rsidR="00490A77">
              <w:rPr>
                <w:noProof/>
                <w:webHidden/>
              </w:rPr>
              <w:t>31</w:t>
            </w:r>
            <w:r w:rsidR="00490A77">
              <w:rPr>
                <w:noProof/>
                <w:webHidden/>
              </w:rPr>
              <w:fldChar w:fldCharType="end"/>
            </w:r>
          </w:hyperlink>
        </w:p>
        <w:p w14:paraId="0A56BF5A" w14:textId="77777777" w:rsidR="00490A77" w:rsidRDefault="00000000">
          <w:pPr>
            <w:pStyle w:val="TM2"/>
            <w:tabs>
              <w:tab w:val="left" w:pos="880"/>
              <w:tab w:val="right" w:leader="underscore" w:pos="9487"/>
            </w:tabs>
            <w:rPr>
              <w:rFonts w:eastAsiaTheme="minorEastAsia" w:cstheme="minorBidi"/>
              <w:b w:val="0"/>
              <w:bCs w:val="0"/>
              <w:noProof/>
              <w:lang w:eastAsia="fr-FR"/>
            </w:rPr>
          </w:pPr>
          <w:hyperlink w:anchor="_Toc126251888" w:history="1">
            <w:r w:rsidR="00490A77" w:rsidRPr="00263B6B">
              <w:rPr>
                <w:rStyle w:val="Lienhypertexte"/>
                <w:rFonts w:ascii="Times New Roman" w:eastAsia="Times New Roman" w:hAnsi="Times New Roman" w:cs="Times New Roman"/>
                <w:noProof/>
              </w:rPr>
              <w:t>II.</w:t>
            </w:r>
            <w:r w:rsidR="00490A77">
              <w:rPr>
                <w:rFonts w:eastAsiaTheme="minorEastAsia" w:cstheme="minorBidi"/>
                <w:b w:val="0"/>
                <w:bCs w:val="0"/>
                <w:noProof/>
                <w:lang w:eastAsia="fr-FR"/>
              </w:rPr>
              <w:tab/>
            </w:r>
            <w:r w:rsidR="00490A77" w:rsidRPr="00263B6B">
              <w:rPr>
                <w:rStyle w:val="Lienhypertexte"/>
                <w:rFonts w:ascii="Times New Roman" w:eastAsia="Times New Roman" w:hAnsi="Times New Roman" w:cs="Times New Roman"/>
                <w:noProof/>
              </w:rPr>
              <w:t>EVALUATION DES RISQUES :</w:t>
            </w:r>
            <w:r w:rsidR="00490A77">
              <w:rPr>
                <w:noProof/>
                <w:webHidden/>
              </w:rPr>
              <w:tab/>
            </w:r>
            <w:r w:rsidR="00490A77">
              <w:rPr>
                <w:noProof/>
                <w:webHidden/>
              </w:rPr>
              <w:fldChar w:fldCharType="begin"/>
            </w:r>
            <w:r w:rsidR="00490A77">
              <w:rPr>
                <w:noProof/>
                <w:webHidden/>
              </w:rPr>
              <w:instrText xml:space="preserve"> PAGEREF _Toc126251888 \h </w:instrText>
            </w:r>
            <w:r w:rsidR="00490A77">
              <w:rPr>
                <w:noProof/>
                <w:webHidden/>
              </w:rPr>
            </w:r>
            <w:r w:rsidR="00490A77">
              <w:rPr>
                <w:noProof/>
                <w:webHidden/>
              </w:rPr>
              <w:fldChar w:fldCharType="separate"/>
            </w:r>
            <w:r w:rsidR="00490A77">
              <w:rPr>
                <w:noProof/>
                <w:webHidden/>
              </w:rPr>
              <w:t>33</w:t>
            </w:r>
            <w:r w:rsidR="00490A77">
              <w:rPr>
                <w:noProof/>
                <w:webHidden/>
              </w:rPr>
              <w:fldChar w:fldCharType="end"/>
            </w:r>
          </w:hyperlink>
        </w:p>
        <w:p w14:paraId="3CF79CC3"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89" w:history="1">
            <w:r w:rsidR="00490A77" w:rsidRPr="00263B6B">
              <w:rPr>
                <w:rStyle w:val="Lienhypertexte"/>
                <w:rFonts w:ascii="Times New Roman" w:eastAsia="Times New Roman" w:hAnsi="Times New Roman" w:cs="Times New Roman"/>
                <w:b/>
                <w:noProof/>
              </w:rPr>
              <w:t>2.1. SA-assimilées</w:t>
            </w:r>
            <w:r w:rsidR="00490A77">
              <w:rPr>
                <w:noProof/>
                <w:webHidden/>
              </w:rPr>
              <w:tab/>
            </w:r>
            <w:r w:rsidR="00490A77">
              <w:rPr>
                <w:noProof/>
                <w:webHidden/>
              </w:rPr>
              <w:fldChar w:fldCharType="begin"/>
            </w:r>
            <w:r w:rsidR="00490A77">
              <w:rPr>
                <w:noProof/>
                <w:webHidden/>
              </w:rPr>
              <w:instrText xml:space="preserve"> PAGEREF _Toc126251889 \h </w:instrText>
            </w:r>
            <w:r w:rsidR="00490A77">
              <w:rPr>
                <w:noProof/>
                <w:webHidden/>
              </w:rPr>
            </w:r>
            <w:r w:rsidR="00490A77">
              <w:rPr>
                <w:noProof/>
                <w:webHidden/>
              </w:rPr>
              <w:fldChar w:fldCharType="separate"/>
            </w:r>
            <w:r w:rsidR="00490A77">
              <w:rPr>
                <w:noProof/>
                <w:webHidden/>
              </w:rPr>
              <w:t>34</w:t>
            </w:r>
            <w:r w:rsidR="00490A77">
              <w:rPr>
                <w:noProof/>
                <w:webHidden/>
              </w:rPr>
              <w:fldChar w:fldCharType="end"/>
            </w:r>
          </w:hyperlink>
        </w:p>
        <w:p w14:paraId="0245C01B"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90" w:history="1">
            <w:r w:rsidR="00490A77" w:rsidRPr="00263B6B">
              <w:rPr>
                <w:rStyle w:val="Lienhypertexte"/>
                <w:rFonts w:ascii="Times New Roman" w:eastAsia="Times New Roman" w:hAnsi="Times New Roman" w:cs="Times New Roman"/>
                <w:b/>
                <w:noProof/>
              </w:rPr>
              <w:t>2.2. SARL-assimilées</w:t>
            </w:r>
            <w:r w:rsidR="00490A77">
              <w:rPr>
                <w:noProof/>
                <w:webHidden/>
              </w:rPr>
              <w:tab/>
            </w:r>
            <w:r w:rsidR="00490A77">
              <w:rPr>
                <w:noProof/>
                <w:webHidden/>
              </w:rPr>
              <w:fldChar w:fldCharType="begin"/>
            </w:r>
            <w:r w:rsidR="00490A77">
              <w:rPr>
                <w:noProof/>
                <w:webHidden/>
              </w:rPr>
              <w:instrText xml:space="preserve"> PAGEREF _Toc126251890 \h </w:instrText>
            </w:r>
            <w:r w:rsidR="00490A77">
              <w:rPr>
                <w:noProof/>
                <w:webHidden/>
              </w:rPr>
            </w:r>
            <w:r w:rsidR="00490A77">
              <w:rPr>
                <w:noProof/>
                <w:webHidden/>
              </w:rPr>
              <w:fldChar w:fldCharType="separate"/>
            </w:r>
            <w:r w:rsidR="00490A77">
              <w:rPr>
                <w:noProof/>
                <w:webHidden/>
              </w:rPr>
              <w:t>37</w:t>
            </w:r>
            <w:r w:rsidR="00490A77">
              <w:rPr>
                <w:noProof/>
                <w:webHidden/>
              </w:rPr>
              <w:fldChar w:fldCharType="end"/>
            </w:r>
          </w:hyperlink>
        </w:p>
        <w:p w14:paraId="48E7886D"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91" w:history="1">
            <w:r w:rsidR="00490A77" w:rsidRPr="00263B6B">
              <w:rPr>
                <w:rStyle w:val="Lienhypertexte"/>
                <w:rFonts w:ascii="Times New Roman" w:eastAsia="Times New Roman" w:hAnsi="Times New Roman" w:cs="Times New Roman"/>
                <w:b/>
                <w:noProof/>
              </w:rPr>
              <w:t xml:space="preserve">2.3. </w:t>
            </w:r>
            <w:r w:rsidR="00490A77" w:rsidRPr="00263B6B">
              <w:rPr>
                <w:rStyle w:val="Lienhypertexte"/>
                <w:rFonts w:ascii="Times New Roman" w:hAnsi="Times New Roman" w:cs="Times New Roman"/>
                <w:b/>
                <w:noProof/>
              </w:rPr>
              <w:t>Sociétés Immobilières</w:t>
            </w:r>
            <w:r w:rsidR="00490A77">
              <w:rPr>
                <w:noProof/>
                <w:webHidden/>
              </w:rPr>
              <w:tab/>
            </w:r>
            <w:r w:rsidR="00490A77">
              <w:rPr>
                <w:noProof/>
                <w:webHidden/>
              </w:rPr>
              <w:fldChar w:fldCharType="begin"/>
            </w:r>
            <w:r w:rsidR="00490A77">
              <w:rPr>
                <w:noProof/>
                <w:webHidden/>
              </w:rPr>
              <w:instrText xml:space="preserve"> PAGEREF _Toc126251891 \h </w:instrText>
            </w:r>
            <w:r w:rsidR="00490A77">
              <w:rPr>
                <w:noProof/>
                <w:webHidden/>
              </w:rPr>
            </w:r>
            <w:r w:rsidR="00490A77">
              <w:rPr>
                <w:noProof/>
                <w:webHidden/>
              </w:rPr>
              <w:fldChar w:fldCharType="separate"/>
            </w:r>
            <w:r w:rsidR="00490A77">
              <w:rPr>
                <w:noProof/>
                <w:webHidden/>
              </w:rPr>
              <w:t>41</w:t>
            </w:r>
            <w:r w:rsidR="00490A77">
              <w:rPr>
                <w:noProof/>
                <w:webHidden/>
              </w:rPr>
              <w:fldChar w:fldCharType="end"/>
            </w:r>
          </w:hyperlink>
        </w:p>
        <w:p w14:paraId="7569956A"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92" w:history="1">
            <w:r w:rsidR="00490A77" w:rsidRPr="00263B6B">
              <w:rPr>
                <w:rStyle w:val="Lienhypertexte"/>
                <w:rFonts w:ascii="Times New Roman" w:eastAsia="Times New Roman" w:hAnsi="Times New Roman" w:cs="Times New Roman"/>
                <w:b/>
                <w:noProof/>
              </w:rPr>
              <w:t>2.4.</w:t>
            </w:r>
            <w:r w:rsidR="00490A77" w:rsidRPr="00263B6B">
              <w:rPr>
                <w:rStyle w:val="Lienhypertexte"/>
                <w:rFonts w:ascii="Times New Roman" w:hAnsi="Times New Roman" w:cs="Times New Roman"/>
                <w:noProof/>
              </w:rPr>
              <w:t xml:space="preserve"> </w:t>
            </w:r>
            <w:r w:rsidR="00490A77" w:rsidRPr="00263B6B">
              <w:rPr>
                <w:rStyle w:val="Lienhypertexte"/>
                <w:rFonts w:ascii="Times New Roman" w:hAnsi="Times New Roman" w:cs="Times New Roman"/>
                <w:b/>
                <w:noProof/>
              </w:rPr>
              <w:t>Société civile professionnelle</w:t>
            </w:r>
            <w:r w:rsidR="00490A77">
              <w:rPr>
                <w:noProof/>
                <w:webHidden/>
              </w:rPr>
              <w:tab/>
            </w:r>
            <w:r w:rsidR="00490A77">
              <w:rPr>
                <w:noProof/>
                <w:webHidden/>
              </w:rPr>
              <w:fldChar w:fldCharType="begin"/>
            </w:r>
            <w:r w:rsidR="00490A77">
              <w:rPr>
                <w:noProof/>
                <w:webHidden/>
              </w:rPr>
              <w:instrText xml:space="preserve"> PAGEREF _Toc126251892 \h </w:instrText>
            </w:r>
            <w:r w:rsidR="00490A77">
              <w:rPr>
                <w:noProof/>
                <w:webHidden/>
              </w:rPr>
            </w:r>
            <w:r w:rsidR="00490A77">
              <w:rPr>
                <w:noProof/>
                <w:webHidden/>
              </w:rPr>
              <w:fldChar w:fldCharType="separate"/>
            </w:r>
            <w:r w:rsidR="00490A77">
              <w:rPr>
                <w:noProof/>
                <w:webHidden/>
              </w:rPr>
              <w:t>45</w:t>
            </w:r>
            <w:r w:rsidR="00490A77">
              <w:rPr>
                <w:noProof/>
                <w:webHidden/>
              </w:rPr>
              <w:fldChar w:fldCharType="end"/>
            </w:r>
          </w:hyperlink>
        </w:p>
        <w:p w14:paraId="6E95EFDA"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93" w:history="1">
            <w:r w:rsidR="00490A77" w:rsidRPr="00263B6B">
              <w:rPr>
                <w:rStyle w:val="Lienhypertexte"/>
                <w:rFonts w:ascii="Times New Roman" w:eastAsia="Times New Roman" w:hAnsi="Times New Roman" w:cs="Times New Roman"/>
                <w:b/>
                <w:noProof/>
              </w:rPr>
              <w:t>2.5. Groupements d’intérêt Economique.</w:t>
            </w:r>
            <w:r w:rsidR="00490A77">
              <w:rPr>
                <w:noProof/>
                <w:webHidden/>
              </w:rPr>
              <w:tab/>
            </w:r>
            <w:r w:rsidR="00490A77">
              <w:rPr>
                <w:noProof/>
                <w:webHidden/>
              </w:rPr>
              <w:fldChar w:fldCharType="begin"/>
            </w:r>
            <w:r w:rsidR="00490A77">
              <w:rPr>
                <w:noProof/>
                <w:webHidden/>
              </w:rPr>
              <w:instrText xml:space="preserve"> PAGEREF _Toc126251893 \h </w:instrText>
            </w:r>
            <w:r w:rsidR="00490A77">
              <w:rPr>
                <w:noProof/>
                <w:webHidden/>
              </w:rPr>
            </w:r>
            <w:r w:rsidR="00490A77">
              <w:rPr>
                <w:noProof/>
                <w:webHidden/>
              </w:rPr>
              <w:fldChar w:fldCharType="separate"/>
            </w:r>
            <w:r w:rsidR="00490A77">
              <w:rPr>
                <w:noProof/>
                <w:webHidden/>
              </w:rPr>
              <w:t>45</w:t>
            </w:r>
            <w:r w:rsidR="00490A77">
              <w:rPr>
                <w:noProof/>
                <w:webHidden/>
              </w:rPr>
              <w:fldChar w:fldCharType="end"/>
            </w:r>
          </w:hyperlink>
        </w:p>
        <w:p w14:paraId="091F7137"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94" w:history="1">
            <w:r w:rsidR="00490A77" w:rsidRPr="00263B6B">
              <w:rPr>
                <w:rStyle w:val="Lienhypertexte"/>
                <w:rFonts w:eastAsia="Calibri"/>
                <w:noProof/>
              </w:rPr>
              <w:t>2.6. Coopératives</w:t>
            </w:r>
            <w:r w:rsidR="00490A77">
              <w:rPr>
                <w:noProof/>
                <w:webHidden/>
              </w:rPr>
              <w:tab/>
            </w:r>
            <w:r w:rsidR="00490A77">
              <w:rPr>
                <w:noProof/>
                <w:webHidden/>
              </w:rPr>
              <w:fldChar w:fldCharType="begin"/>
            </w:r>
            <w:r w:rsidR="00490A77">
              <w:rPr>
                <w:noProof/>
                <w:webHidden/>
              </w:rPr>
              <w:instrText xml:space="preserve"> PAGEREF _Toc126251894 \h </w:instrText>
            </w:r>
            <w:r w:rsidR="00490A77">
              <w:rPr>
                <w:noProof/>
                <w:webHidden/>
              </w:rPr>
            </w:r>
            <w:r w:rsidR="00490A77">
              <w:rPr>
                <w:noProof/>
                <w:webHidden/>
              </w:rPr>
              <w:fldChar w:fldCharType="separate"/>
            </w:r>
            <w:r w:rsidR="00490A77">
              <w:rPr>
                <w:noProof/>
                <w:webHidden/>
              </w:rPr>
              <w:t>45</w:t>
            </w:r>
            <w:r w:rsidR="00490A77">
              <w:rPr>
                <w:noProof/>
                <w:webHidden/>
              </w:rPr>
              <w:fldChar w:fldCharType="end"/>
            </w:r>
          </w:hyperlink>
        </w:p>
        <w:p w14:paraId="1646F791" w14:textId="77777777" w:rsidR="00490A77" w:rsidRDefault="00000000">
          <w:pPr>
            <w:pStyle w:val="TM3"/>
            <w:tabs>
              <w:tab w:val="right" w:leader="underscore" w:pos="9487"/>
            </w:tabs>
            <w:rPr>
              <w:rFonts w:eastAsiaTheme="minorEastAsia" w:cstheme="minorBidi"/>
              <w:noProof/>
              <w:sz w:val="22"/>
              <w:szCs w:val="22"/>
              <w:lang w:eastAsia="fr-FR"/>
            </w:rPr>
          </w:pPr>
          <w:hyperlink w:anchor="_Toc126251895" w:history="1">
            <w:r w:rsidR="00490A77" w:rsidRPr="00263B6B">
              <w:rPr>
                <w:rStyle w:val="Lienhypertexte"/>
                <w:rFonts w:ascii="Times New Roman" w:eastAsia="Times New Roman" w:hAnsi="Times New Roman" w:cs="Times New Roman"/>
                <w:b/>
                <w:noProof/>
              </w:rPr>
              <w:t>2.7. Fondations -Associations</w:t>
            </w:r>
            <w:r w:rsidR="00490A77">
              <w:rPr>
                <w:noProof/>
                <w:webHidden/>
              </w:rPr>
              <w:tab/>
            </w:r>
            <w:r w:rsidR="00490A77">
              <w:rPr>
                <w:noProof/>
                <w:webHidden/>
              </w:rPr>
              <w:fldChar w:fldCharType="begin"/>
            </w:r>
            <w:r w:rsidR="00490A77">
              <w:rPr>
                <w:noProof/>
                <w:webHidden/>
              </w:rPr>
              <w:instrText xml:space="preserve"> PAGEREF _Toc126251895 \h </w:instrText>
            </w:r>
            <w:r w:rsidR="00490A77">
              <w:rPr>
                <w:noProof/>
                <w:webHidden/>
              </w:rPr>
            </w:r>
            <w:r w:rsidR="00490A77">
              <w:rPr>
                <w:noProof/>
                <w:webHidden/>
              </w:rPr>
              <w:fldChar w:fldCharType="separate"/>
            </w:r>
            <w:r w:rsidR="00490A77">
              <w:rPr>
                <w:noProof/>
                <w:webHidden/>
              </w:rPr>
              <w:t>46</w:t>
            </w:r>
            <w:r w:rsidR="00490A77">
              <w:rPr>
                <w:noProof/>
                <w:webHidden/>
              </w:rPr>
              <w:fldChar w:fldCharType="end"/>
            </w:r>
          </w:hyperlink>
        </w:p>
        <w:p w14:paraId="3B942C13" w14:textId="77777777" w:rsidR="00490A77" w:rsidRDefault="00000000">
          <w:pPr>
            <w:pStyle w:val="TM2"/>
            <w:tabs>
              <w:tab w:val="left" w:pos="880"/>
              <w:tab w:val="right" w:leader="underscore" w:pos="9487"/>
            </w:tabs>
            <w:rPr>
              <w:rFonts w:eastAsiaTheme="minorEastAsia" w:cstheme="minorBidi"/>
              <w:b w:val="0"/>
              <w:bCs w:val="0"/>
              <w:noProof/>
              <w:lang w:eastAsia="fr-FR"/>
            </w:rPr>
          </w:pPr>
          <w:hyperlink w:anchor="_Toc126251896" w:history="1">
            <w:r w:rsidR="00490A77" w:rsidRPr="00263B6B">
              <w:rPr>
                <w:rStyle w:val="Lienhypertexte"/>
                <w:rFonts w:ascii="Times New Roman" w:eastAsia="Times New Roman" w:hAnsi="Times New Roman" w:cs="Times New Roman"/>
                <w:noProof/>
              </w:rPr>
              <w:t>III.</w:t>
            </w:r>
            <w:r w:rsidR="00490A77">
              <w:rPr>
                <w:rFonts w:eastAsiaTheme="minorEastAsia" w:cstheme="minorBidi"/>
                <w:b w:val="0"/>
                <w:bCs w:val="0"/>
                <w:noProof/>
                <w:lang w:eastAsia="fr-FR"/>
              </w:rPr>
              <w:tab/>
            </w:r>
            <w:r w:rsidR="00490A77" w:rsidRPr="00263B6B">
              <w:rPr>
                <w:rStyle w:val="Lienhypertexte"/>
                <w:rFonts w:ascii="Times New Roman" w:eastAsia="Times New Roman" w:hAnsi="Times New Roman" w:cs="Times New Roman"/>
                <w:noProof/>
              </w:rPr>
              <w:t>FAIBLESSES</w:t>
            </w:r>
            <w:r w:rsidR="00490A77">
              <w:rPr>
                <w:noProof/>
                <w:webHidden/>
              </w:rPr>
              <w:tab/>
            </w:r>
            <w:r w:rsidR="00490A77">
              <w:rPr>
                <w:noProof/>
                <w:webHidden/>
              </w:rPr>
              <w:fldChar w:fldCharType="begin"/>
            </w:r>
            <w:r w:rsidR="00490A77">
              <w:rPr>
                <w:noProof/>
                <w:webHidden/>
              </w:rPr>
              <w:instrText xml:space="preserve"> PAGEREF _Toc126251896 \h </w:instrText>
            </w:r>
            <w:r w:rsidR="00490A77">
              <w:rPr>
                <w:noProof/>
                <w:webHidden/>
              </w:rPr>
            </w:r>
            <w:r w:rsidR="00490A77">
              <w:rPr>
                <w:noProof/>
                <w:webHidden/>
              </w:rPr>
              <w:fldChar w:fldCharType="separate"/>
            </w:r>
            <w:r w:rsidR="00490A77">
              <w:rPr>
                <w:noProof/>
                <w:webHidden/>
              </w:rPr>
              <w:t>48</w:t>
            </w:r>
            <w:r w:rsidR="00490A77">
              <w:rPr>
                <w:noProof/>
                <w:webHidden/>
              </w:rPr>
              <w:fldChar w:fldCharType="end"/>
            </w:r>
          </w:hyperlink>
        </w:p>
        <w:p w14:paraId="3E6BA9CC" w14:textId="77777777" w:rsidR="00490A77" w:rsidRDefault="00000000">
          <w:pPr>
            <w:pStyle w:val="TM2"/>
            <w:tabs>
              <w:tab w:val="left" w:pos="880"/>
              <w:tab w:val="right" w:leader="underscore" w:pos="9487"/>
            </w:tabs>
            <w:rPr>
              <w:rFonts w:eastAsiaTheme="minorEastAsia" w:cstheme="minorBidi"/>
              <w:b w:val="0"/>
              <w:bCs w:val="0"/>
              <w:noProof/>
              <w:lang w:eastAsia="fr-FR"/>
            </w:rPr>
          </w:pPr>
          <w:hyperlink w:anchor="_Toc126251897" w:history="1">
            <w:r w:rsidR="00490A77" w:rsidRPr="00263B6B">
              <w:rPr>
                <w:rStyle w:val="Lienhypertexte"/>
                <w:rFonts w:ascii="Times New Roman" w:eastAsia="Times New Roman" w:hAnsi="Times New Roman" w:cs="Times New Roman"/>
                <w:noProof/>
              </w:rPr>
              <w:t>IV.</w:t>
            </w:r>
            <w:r w:rsidR="00490A77">
              <w:rPr>
                <w:rFonts w:eastAsiaTheme="minorEastAsia" w:cstheme="minorBidi"/>
                <w:b w:val="0"/>
                <w:bCs w:val="0"/>
                <w:noProof/>
                <w:lang w:eastAsia="fr-FR"/>
              </w:rPr>
              <w:tab/>
            </w:r>
            <w:r w:rsidR="00490A77" w:rsidRPr="00263B6B">
              <w:rPr>
                <w:rStyle w:val="Lienhypertexte"/>
                <w:rFonts w:ascii="Times New Roman" w:eastAsia="Times New Roman" w:hAnsi="Times New Roman" w:cs="Times New Roman"/>
                <w:noProof/>
              </w:rPr>
              <w:t>MESURES D'ATTENUATION</w:t>
            </w:r>
            <w:r w:rsidR="00490A77">
              <w:rPr>
                <w:noProof/>
                <w:webHidden/>
              </w:rPr>
              <w:tab/>
            </w:r>
            <w:r w:rsidR="00490A77">
              <w:rPr>
                <w:noProof/>
                <w:webHidden/>
              </w:rPr>
              <w:fldChar w:fldCharType="begin"/>
            </w:r>
            <w:r w:rsidR="00490A77">
              <w:rPr>
                <w:noProof/>
                <w:webHidden/>
              </w:rPr>
              <w:instrText xml:space="preserve"> PAGEREF _Toc126251897 \h </w:instrText>
            </w:r>
            <w:r w:rsidR="00490A77">
              <w:rPr>
                <w:noProof/>
                <w:webHidden/>
              </w:rPr>
            </w:r>
            <w:r w:rsidR="00490A77">
              <w:rPr>
                <w:noProof/>
                <w:webHidden/>
              </w:rPr>
              <w:fldChar w:fldCharType="separate"/>
            </w:r>
            <w:r w:rsidR="00490A77">
              <w:rPr>
                <w:noProof/>
                <w:webHidden/>
              </w:rPr>
              <w:t>48</w:t>
            </w:r>
            <w:r w:rsidR="00490A77">
              <w:rPr>
                <w:noProof/>
                <w:webHidden/>
              </w:rPr>
              <w:fldChar w:fldCharType="end"/>
            </w:r>
          </w:hyperlink>
        </w:p>
        <w:p w14:paraId="435DC93B" w14:textId="77777777" w:rsidR="00490A77" w:rsidRDefault="00000000">
          <w:pPr>
            <w:pStyle w:val="TM2"/>
            <w:tabs>
              <w:tab w:val="left" w:pos="660"/>
              <w:tab w:val="right" w:leader="underscore" w:pos="9487"/>
            </w:tabs>
            <w:rPr>
              <w:rFonts w:eastAsiaTheme="minorEastAsia" w:cstheme="minorBidi"/>
              <w:b w:val="0"/>
              <w:bCs w:val="0"/>
              <w:noProof/>
              <w:lang w:eastAsia="fr-FR"/>
            </w:rPr>
          </w:pPr>
          <w:hyperlink w:anchor="_Toc126251898" w:history="1">
            <w:r w:rsidR="00490A77" w:rsidRPr="00263B6B">
              <w:rPr>
                <w:rStyle w:val="Lienhypertexte"/>
                <w:rFonts w:ascii="Times New Roman" w:eastAsia="Times New Roman" w:hAnsi="Times New Roman" w:cs="Times New Roman"/>
                <w:noProof/>
              </w:rPr>
              <w:t>V.</w:t>
            </w:r>
            <w:r w:rsidR="00490A77">
              <w:rPr>
                <w:rFonts w:eastAsiaTheme="minorEastAsia" w:cstheme="minorBidi"/>
                <w:b w:val="0"/>
                <w:bCs w:val="0"/>
                <w:noProof/>
                <w:lang w:eastAsia="fr-FR"/>
              </w:rPr>
              <w:tab/>
            </w:r>
            <w:r w:rsidR="00490A77" w:rsidRPr="00263B6B">
              <w:rPr>
                <w:rStyle w:val="Lienhypertexte"/>
                <w:rFonts w:ascii="Times New Roman" w:eastAsia="Times New Roman" w:hAnsi="Times New Roman" w:cs="Times New Roman"/>
                <w:noProof/>
              </w:rPr>
              <w:t>PLAN D’ACTION</w:t>
            </w:r>
            <w:r w:rsidR="00490A77">
              <w:rPr>
                <w:noProof/>
                <w:webHidden/>
              </w:rPr>
              <w:tab/>
            </w:r>
            <w:r w:rsidR="00490A77">
              <w:rPr>
                <w:noProof/>
                <w:webHidden/>
              </w:rPr>
              <w:fldChar w:fldCharType="begin"/>
            </w:r>
            <w:r w:rsidR="00490A77">
              <w:rPr>
                <w:noProof/>
                <w:webHidden/>
              </w:rPr>
              <w:instrText xml:space="preserve"> PAGEREF _Toc126251898 \h </w:instrText>
            </w:r>
            <w:r w:rsidR="00490A77">
              <w:rPr>
                <w:noProof/>
                <w:webHidden/>
              </w:rPr>
            </w:r>
            <w:r w:rsidR="00490A77">
              <w:rPr>
                <w:noProof/>
                <w:webHidden/>
              </w:rPr>
              <w:fldChar w:fldCharType="separate"/>
            </w:r>
            <w:r w:rsidR="00490A77">
              <w:rPr>
                <w:noProof/>
                <w:webHidden/>
              </w:rPr>
              <w:t>49</w:t>
            </w:r>
            <w:r w:rsidR="00490A77">
              <w:rPr>
                <w:noProof/>
                <w:webHidden/>
              </w:rPr>
              <w:fldChar w:fldCharType="end"/>
            </w:r>
          </w:hyperlink>
        </w:p>
        <w:p w14:paraId="7FFDB944" w14:textId="77777777" w:rsidR="00490A77" w:rsidRDefault="00000000">
          <w:pPr>
            <w:pStyle w:val="TM1"/>
            <w:tabs>
              <w:tab w:val="right" w:leader="underscore" w:pos="9487"/>
            </w:tabs>
            <w:rPr>
              <w:rFonts w:eastAsiaTheme="minorEastAsia" w:cstheme="minorBidi"/>
              <w:b w:val="0"/>
              <w:bCs w:val="0"/>
              <w:i w:val="0"/>
              <w:iCs w:val="0"/>
              <w:noProof/>
              <w:sz w:val="22"/>
              <w:szCs w:val="22"/>
              <w:lang w:eastAsia="fr-FR"/>
            </w:rPr>
          </w:pPr>
          <w:hyperlink w:anchor="_Toc126251899" w:history="1">
            <w:r w:rsidR="00490A77" w:rsidRPr="00263B6B">
              <w:rPr>
                <w:rStyle w:val="Lienhypertexte"/>
                <w:rFonts w:ascii="Times New Roman" w:eastAsia="Times New Roman" w:hAnsi="Times New Roman" w:cs="Times New Roman"/>
                <w:noProof/>
              </w:rPr>
              <w:t>Conclusion</w:t>
            </w:r>
            <w:r w:rsidR="00490A77">
              <w:rPr>
                <w:noProof/>
                <w:webHidden/>
              </w:rPr>
              <w:tab/>
            </w:r>
            <w:r w:rsidR="00490A77">
              <w:rPr>
                <w:noProof/>
                <w:webHidden/>
              </w:rPr>
              <w:fldChar w:fldCharType="begin"/>
            </w:r>
            <w:r w:rsidR="00490A77">
              <w:rPr>
                <w:noProof/>
                <w:webHidden/>
              </w:rPr>
              <w:instrText xml:space="preserve"> PAGEREF _Toc126251899 \h </w:instrText>
            </w:r>
            <w:r w:rsidR="00490A77">
              <w:rPr>
                <w:noProof/>
                <w:webHidden/>
              </w:rPr>
            </w:r>
            <w:r w:rsidR="00490A77">
              <w:rPr>
                <w:noProof/>
                <w:webHidden/>
              </w:rPr>
              <w:fldChar w:fldCharType="separate"/>
            </w:r>
            <w:r w:rsidR="00490A77">
              <w:rPr>
                <w:noProof/>
                <w:webHidden/>
              </w:rPr>
              <w:t>49</w:t>
            </w:r>
            <w:r w:rsidR="00490A77">
              <w:rPr>
                <w:noProof/>
                <w:webHidden/>
              </w:rPr>
              <w:fldChar w:fldCharType="end"/>
            </w:r>
          </w:hyperlink>
        </w:p>
        <w:p w14:paraId="43B967EE" w14:textId="77777777" w:rsidR="00655937" w:rsidRPr="007A145D" w:rsidRDefault="00490A77">
          <w:r>
            <w:fldChar w:fldCharType="end"/>
          </w:r>
        </w:p>
      </w:sdtContent>
    </w:sdt>
    <w:p w14:paraId="3AD4E39D" w14:textId="77777777" w:rsidR="00655937" w:rsidRPr="007A145D" w:rsidRDefault="00655937">
      <w:pPr>
        <w:ind w:left="360"/>
        <w:rPr>
          <w:rFonts w:ascii="Times New Roman" w:hAnsi="Times New Roman" w:cs="Times New Roman"/>
          <w:b/>
          <w:sz w:val="26"/>
          <w:szCs w:val="26"/>
        </w:rPr>
      </w:pPr>
    </w:p>
    <w:p w14:paraId="142CC2D3" w14:textId="77777777" w:rsidR="00655937" w:rsidRPr="007A145D" w:rsidRDefault="00655937">
      <w:pPr>
        <w:ind w:left="360"/>
        <w:rPr>
          <w:rFonts w:ascii="Times New Roman" w:hAnsi="Times New Roman" w:cs="Times New Roman"/>
          <w:b/>
          <w:sz w:val="26"/>
          <w:szCs w:val="26"/>
        </w:rPr>
      </w:pPr>
    </w:p>
    <w:p w14:paraId="143AC264" w14:textId="77777777" w:rsidR="00655937" w:rsidRPr="007A145D" w:rsidRDefault="00655937">
      <w:pPr>
        <w:ind w:left="360"/>
        <w:rPr>
          <w:rFonts w:ascii="Times New Roman" w:hAnsi="Times New Roman" w:cs="Times New Roman"/>
          <w:b/>
          <w:sz w:val="26"/>
          <w:szCs w:val="26"/>
        </w:rPr>
      </w:pPr>
    </w:p>
    <w:p w14:paraId="2D403079" w14:textId="77777777" w:rsidR="00655937" w:rsidRPr="007A145D" w:rsidRDefault="00655937">
      <w:pPr>
        <w:ind w:left="360"/>
        <w:rPr>
          <w:rFonts w:ascii="Times New Roman" w:hAnsi="Times New Roman" w:cs="Times New Roman"/>
          <w:b/>
          <w:sz w:val="26"/>
          <w:szCs w:val="26"/>
        </w:rPr>
      </w:pPr>
    </w:p>
    <w:p w14:paraId="12906A00" w14:textId="77777777" w:rsidR="009C6614" w:rsidRPr="007A145D" w:rsidRDefault="009C6614">
      <w:pPr>
        <w:rPr>
          <w:rFonts w:ascii="Times New Roman" w:hAnsi="Times New Roman" w:cs="Times New Roman"/>
          <w:b/>
          <w:sz w:val="24"/>
          <w:szCs w:val="24"/>
        </w:rPr>
      </w:pPr>
    </w:p>
    <w:p w14:paraId="493F45E3" w14:textId="77777777" w:rsidR="0003168A" w:rsidRPr="007A145D" w:rsidRDefault="0003168A">
      <w:pPr>
        <w:rPr>
          <w:rFonts w:ascii="Times New Roman" w:hAnsi="Times New Roman" w:cs="Times New Roman"/>
          <w:b/>
          <w:sz w:val="24"/>
          <w:szCs w:val="24"/>
        </w:rPr>
      </w:pPr>
    </w:p>
    <w:p w14:paraId="1B68DEAC" w14:textId="77777777" w:rsidR="0003168A" w:rsidRPr="007A145D" w:rsidRDefault="0003168A">
      <w:pPr>
        <w:rPr>
          <w:rFonts w:ascii="Times New Roman" w:hAnsi="Times New Roman" w:cs="Times New Roman"/>
          <w:b/>
          <w:sz w:val="24"/>
          <w:szCs w:val="24"/>
        </w:rPr>
      </w:pPr>
    </w:p>
    <w:p w14:paraId="213331B8" w14:textId="77777777" w:rsidR="00F41572" w:rsidRPr="007A145D" w:rsidRDefault="00F41572">
      <w:pPr>
        <w:spacing w:after="0" w:line="240" w:lineRule="auto"/>
        <w:rPr>
          <w:rFonts w:ascii="Times New Roman" w:hAnsi="Times New Roman" w:cs="Times New Roman"/>
          <w:b/>
          <w:sz w:val="24"/>
          <w:szCs w:val="24"/>
        </w:rPr>
      </w:pPr>
      <w:r w:rsidRPr="007A145D">
        <w:rPr>
          <w:rFonts w:ascii="Times New Roman" w:hAnsi="Times New Roman" w:cs="Times New Roman"/>
          <w:b/>
          <w:sz w:val="24"/>
          <w:szCs w:val="24"/>
        </w:rPr>
        <w:br w:type="page"/>
      </w:r>
    </w:p>
    <w:p w14:paraId="44073364" w14:textId="77777777" w:rsidR="008C09E6" w:rsidRPr="004A6E37" w:rsidRDefault="008C09E6" w:rsidP="00C45161">
      <w:pPr>
        <w:pStyle w:val="Titre1"/>
        <w:numPr>
          <w:ilvl w:val="0"/>
          <w:numId w:val="0"/>
        </w:numPr>
        <w:ind w:left="432"/>
        <w:rPr>
          <w:rFonts w:ascii="Times New Roman" w:eastAsia="Times New Roman" w:hAnsi="Times New Roman" w:cs="Times New Roman"/>
          <w:b/>
          <w:color w:val="auto"/>
          <w:sz w:val="24"/>
          <w:szCs w:val="24"/>
        </w:rPr>
      </w:pPr>
      <w:bookmarkStart w:id="0" w:name="_Toc102984053"/>
      <w:bookmarkStart w:id="1" w:name="_Toc126251850"/>
      <w:r w:rsidRPr="004A6E37">
        <w:rPr>
          <w:rFonts w:ascii="Times New Roman" w:eastAsia="Times New Roman" w:hAnsi="Times New Roman" w:cs="Times New Roman"/>
          <w:b/>
          <w:color w:val="auto"/>
          <w:sz w:val="24"/>
          <w:szCs w:val="24"/>
        </w:rPr>
        <w:lastRenderedPageBreak/>
        <w:t>LISTE DES SIGLES ET ABREVIATIONS</w:t>
      </w:r>
      <w:bookmarkEnd w:id="0"/>
      <w:bookmarkEnd w:id="1"/>
    </w:p>
    <w:p w14:paraId="634B4B1C" w14:textId="77777777" w:rsidR="008C09E6" w:rsidRPr="004A6E37" w:rsidRDefault="008C09E6" w:rsidP="008C09E6">
      <w:pPr>
        <w:spacing w:after="240" w:line="240" w:lineRule="auto"/>
        <w:rPr>
          <w:rFonts w:ascii="Times New Roman" w:eastAsia="Times New Roman" w:hAnsi="Times New Roman" w:cs="Times New Roman"/>
          <w:sz w:val="6"/>
          <w:szCs w:val="2"/>
        </w:rPr>
      </w:pPr>
    </w:p>
    <w:tbl>
      <w:tblPr>
        <w:tblStyle w:val="Grilledutableau4"/>
        <w:tblW w:w="5128" w:type="pct"/>
        <w:shd w:val="clear" w:color="auto" w:fill="FFFFFF" w:themeFill="background1"/>
        <w:tblLayout w:type="fixed"/>
        <w:tblLook w:val="04A0" w:firstRow="1" w:lastRow="0" w:firstColumn="1" w:lastColumn="0" w:noHBand="0" w:noVBand="1"/>
      </w:tblPr>
      <w:tblGrid>
        <w:gridCol w:w="1607"/>
        <w:gridCol w:w="8123"/>
      </w:tblGrid>
      <w:tr w:rsidR="002D5A1D" w:rsidRPr="004A6E37" w14:paraId="5B092492" w14:textId="77777777" w:rsidTr="00845383">
        <w:trPr>
          <w:trHeight w:val="221"/>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5A8D4B76" w14:textId="77777777" w:rsidR="002D5A1D" w:rsidRPr="004A6E37" w:rsidRDefault="006D72DE"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API</w:t>
            </w:r>
            <w:r w:rsidR="002D5A1D" w:rsidRPr="004A6E37">
              <w:rPr>
                <w:rFonts w:ascii="Times New Roman" w:hAnsi="Times New Roman" w:cs="Times New Roman"/>
                <w:b/>
                <w:sz w:val="24"/>
                <w:szCs w:val="24"/>
              </w:rPr>
              <w:t>-</w:t>
            </w:r>
            <w:r w:rsidRPr="004A6E37">
              <w:rPr>
                <w:rFonts w:ascii="Times New Roman" w:hAnsi="Times New Roman" w:cs="Times New Roman"/>
                <w:b/>
                <w:sz w:val="24"/>
                <w:szCs w:val="24"/>
              </w:rPr>
              <w:t>MALI</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994C2FC" w14:textId="77777777" w:rsidR="002D5A1D" w:rsidRPr="004A6E37" w:rsidRDefault="002D5A1D"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Agence pour la promotion des investissements au Mali</w:t>
            </w:r>
          </w:p>
        </w:tc>
      </w:tr>
      <w:tr w:rsidR="002D5A1D" w:rsidRPr="004A6E37" w14:paraId="54F6961C" w14:textId="77777777" w:rsidTr="00845383">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08CCEBF4" w14:textId="77777777" w:rsidR="002D5A1D" w:rsidRPr="004A6E37" w:rsidRDefault="002D5A1D" w:rsidP="0003168A">
            <w:pPr>
              <w:spacing w:after="0" w:line="240" w:lineRule="auto"/>
              <w:jc w:val="both"/>
              <w:rPr>
                <w:rFonts w:ascii="Times New Roman" w:eastAsia="Times New Roman" w:hAnsi="Times New Roman" w:cs="Times New Roman"/>
                <w:b/>
                <w:sz w:val="24"/>
                <w:szCs w:val="24"/>
                <w:u w:val="single"/>
              </w:rPr>
            </w:pPr>
            <w:r w:rsidRPr="004A6E37">
              <w:rPr>
                <w:rFonts w:ascii="Times New Roman" w:eastAsia="Times New Roman" w:hAnsi="Times New Roman" w:cs="Times New Roman"/>
                <w:b/>
                <w:sz w:val="24"/>
                <w:szCs w:val="24"/>
                <w:lang w:eastAsia="fr-FR"/>
              </w:rPr>
              <w:t>BC/FT</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3884AD3C" w14:textId="77777777" w:rsidR="002D5A1D" w:rsidRPr="004A6E37" w:rsidRDefault="002D5A1D" w:rsidP="0003168A">
            <w:pPr>
              <w:spacing w:after="0" w:line="24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Blanchiment de Capitaux et Financement du Terrorisme</w:t>
            </w:r>
          </w:p>
        </w:tc>
      </w:tr>
      <w:tr w:rsidR="002D5A1D" w:rsidRPr="004A6E37" w14:paraId="63D01F01" w14:textId="77777777" w:rsidTr="00845383">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12E99CAC" w14:textId="77777777" w:rsidR="002D5A1D" w:rsidRPr="004A6E37" w:rsidRDefault="002D5A1D" w:rsidP="0003168A">
            <w:pPr>
              <w:spacing w:after="0" w:line="240" w:lineRule="auto"/>
              <w:jc w:val="both"/>
              <w:rPr>
                <w:rFonts w:ascii="Times New Roman" w:eastAsia="Times New Roman" w:hAnsi="Times New Roman" w:cs="Times New Roman"/>
                <w:b/>
                <w:sz w:val="24"/>
                <w:szCs w:val="24"/>
                <w:u w:val="single"/>
              </w:rPr>
            </w:pPr>
            <w:r w:rsidRPr="004A6E37">
              <w:rPr>
                <w:rFonts w:ascii="Times New Roman" w:hAnsi="Times New Roman" w:cs="Times New Roman"/>
                <w:b/>
                <w:sz w:val="24"/>
                <w:szCs w:val="24"/>
              </w:rPr>
              <w:t>BE</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272C2690" w14:textId="77777777" w:rsidR="002D5A1D" w:rsidRPr="004A6E37" w:rsidRDefault="002D5A1D" w:rsidP="0003168A">
            <w:pPr>
              <w:spacing w:after="0" w:line="24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 xml:space="preserve">Bénéficiaire effectif </w:t>
            </w:r>
          </w:p>
        </w:tc>
      </w:tr>
      <w:tr w:rsidR="002D5A1D" w:rsidRPr="004A6E37" w14:paraId="5D6C017C" w14:textId="77777777" w:rsidTr="00845383">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42424826" w14:textId="77777777" w:rsidR="002D5A1D" w:rsidRPr="004A6E37" w:rsidRDefault="002D5A1D" w:rsidP="0003168A">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BIJ</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03D6AB08" w14:textId="77777777" w:rsidR="002D5A1D" w:rsidRPr="004A6E37" w:rsidRDefault="002D5A1D" w:rsidP="0003168A">
            <w:pPr>
              <w:spacing w:after="0" w:line="24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Brigade d’investigation judiciaire</w:t>
            </w:r>
            <w:r w:rsidR="00986740" w:rsidRPr="004A6E37">
              <w:rPr>
                <w:rFonts w:ascii="Times New Roman" w:eastAsia="Times New Roman" w:hAnsi="Times New Roman" w:cs="Times New Roman"/>
                <w:sz w:val="24"/>
                <w:szCs w:val="24"/>
                <w:lang w:eastAsia="fr-FR"/>
              </w:rPr>
              <w:t xml:space="preserve"> de la Police Nationale</w:t>
            </w:r>
          </w:p>
        </w:tc>
      </w:tr>
      <w:tr w:rsidR="00D444E6" w:rsidRPr="004A6E37" w14:paraId="69C39BF8" w14:textId="77777777" w:rsidTr="0003168A">
        <w:trPr>
          <w:trHeight w:val="1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1381D900" w14:textId="77777777" w:rsidR="00D444E6" w:rsidRPr="004A6E37" w:rsidRDefault="00D444E6" w:rsidP="00A45B45">
            <w:pPr>
              <w:spacing w:after="0" w:line="240" w:lineRule="auto"/>
              <w:jc w:val="both"/>
              <w:rPr>
                <w:rFonts w:ascii="Times New Roman" w:eastAsia="Arial Unicode MS" w:hAnsi="Times New Roman" w:cs="Times New Roman"/>
                <w:b/>
                <w:sz w:val="24"/>
                <w:szCs w:val="24"/>
              </w:rPr>
            </w:pPr>
            <w:r w:rsidRPr="004A6E37">
              <w:rPr>
                <w:rFonts w:ascii="Times New Roman" w:eastAsia="Arial Unicode MS" w:hAnsi="Times New Roman" w:cs="Times New Roman"/>
                <w:b/>
                <w:sz w:val="24"/>
                <w:szCs w:val="24"/>
              </w:rPr>
              <w:t xml:space="preserve">BM </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76E9E80" w14:textId="77777777" w:rsidR="00D444E6" w:rsidRPr="004A6E37" w:rsidRDefault="00D444E6" w:rsidP="00A45B45">
            <w:pPr>
              <w:spacing w:after="0" w:line="240" w:lineRule="auto"/>
              <w:jc w:val="both"/>
              <w:rPr>
                <w:rFonts w:ascii="Times New Roman" w:eastAsia="Arial Unicode MS" w:hAnsi="Times New Roman" w:cs="Times New Roman"/>
                <w:sz w:val="24"/>
                <w:szCs w:val="24"/>
              </w:rPr>
            </w:pPr>
            <w:r w:rsidRPr="004A6E37">
              <w:rPr>
                <w:rFonts w:ascii="Times New Roman" w:hAnsi="Times New Roman" w:cs="Times New Roman"/>
                <w:sz w:val="24"/>
                <w:szCs w:val="24"/>
              </w:rPr>
              <w:t xml:space="preserve">Banque Mondiale </w:t>
            </w:r>
          </w:p>
        </w:tc>
      </w:tr>
      <w:tr w:rsidR="00D444E6" w:rsidRPr="004A6E37" w14:paraId="737226C8" w14:textId="77777777" w:rsidTr="0003168A">
        <w:trPr>
          <w:trHeight w:val="1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10436285" w14:textId="77777777" w:rsidR="00D444E6" w:rsidRPr="004A6E37" w:rsidRDefault="00D444E6" w:rsidP="00A45B45">
            <w:pPr>
              <w:spacing w:after="0" w:line="240" w:lineRule="auto"/>
              <w:jc w:val="both"/>
              <w:rPr>
                <w:rFonts w:ascii="Times New Roman" w:eastAsia="Times New Roman" w:hAnsi="Times New Roman" w:cs="Times New Roman"/>
                <w:b/>
                <w:bCs/>
                <w:sz w:val="24"/>
                <w:szCs w:val="24"/>
                <w:lang w:eastAsia="fr-FR"/>
              </w:rPr>
            </w:pPr>
            <w:r w:rsidRPr="004A6E37">
              <w:rPr>
                <w:rFonts w:ascii="Times New Roman" w:eastAsia="Times New Roman" w:hAnsi="Times New Roman" w:cs="Times New Roman"/>
                <w:b/>
                <w:bCs/>
                <w:sz w:val="24"/>
                <w:szCs w:val="24"/>
                <w:lang w:eastAsia="fr-FR"/>
              </w:rPr>
              <w:t>BVG</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0427519A" w14:textId="77777777" w:rsidR="00D444E6" w:rsidRPr="004A6E37" w:rsidRDefault="00D444E6" w:rsidP="00A45B45">
            <w:pPr>
              <w:spacing w:after="0" w:line="240" w:lineRule="auto"/>
              <w:jc w:val="both"/>
              <w:rPr>
                <w:rFonts w:ascii="Times New Roman" w:eastAsia="Times New Roman" w:hAnsi="Times New Roman" w:cs="Times New Roman"/>
                <w:bCs/>
                <w:sz w:val="24"/>
                <w:szCs w:val="24"/>
                <w:lang w:eastAsia="fr-FR"/>
              </w:rPr>
            </w:pPr>
            <w:r w:rsidRPr="004A6E37">
              <w:rPr>
                <w:rFonts w:ascii="Times New Roman" w:eastAsia="Times New Roman" w:hAnsi="Times New Roman" w:cs="Times New Roman"/>
                <w:bCs/>
                <w:sz w:val="24"/>
                <w:szCs w:val="24"/>
                <w:lang w:eastAsia="fr-FR"/>
              </w:rPr>
              <w:t>Bureau du Vérificateur Général</w:t>
            </w:r>
          </w:p>
        </w:tc>
      </w:tr>
      <w:tr w:rsidR="00D444E6" w:rsidRPr="004A6E37" w14:paraId="3D1F9CE2" w14:textId="77777777" w:rsidTr="0003168A">
        <w:trPr>
          <w:trHeight w:val="77"/>
        </w:trPr>
        <w:tc>
          <w:tcPr>
            <w:tcW w:w="826" w:type="pct"/>
            <w:tcBorders>
              <w:top w:val="nil"/>
              <w:left w:val="single" w:sz="4" w:space="0" w:color="auto"/>
              <w:bottom w:val="single" w:sz="4" w:space="0" w:color="auto"/>
              <w:right w:val="single" w:sz="4" w:space="0" w:color="auto"/>
            </w:tcBorders>
            <w:shd w:val="clear" w:color="auto" w:fill="FFFFFF" w:themeFill="background1"/>
          </w:tcPr>
          <w:p w14:paraId="7D46BC71" w14:textId="77777777" w:rsidR="00D444E6" w:rsidRPr="004A6E37" w:rsidRDefault="00D444E6" w:rsidP="0003168A">
            <w:pPr>
              <w:spacing w:after="0" w:line="240" w:lineRule="auto"/>
              <w:jc w:val="both"/>
              <w:rPr>
                <w:rFonts w:ascii="Times New Roman" w:eastAsia="Times New Roman" w:hAnsi="Times New Roman" w:cs="Times New Roman"/>
                <w:b/>
                <w:bCs/>
                <w:sz w:val="24"/>
                <w:szCs w:val="24"/>
                <w:lang w:eastAsia="fr-FR"/>
              </w:rPr>
            </w:pPr>
            <w:r w:rsidRPr="004A6E37">
              <w:rPr>
                <w:rFonts w:ascii="Times New Roman" w:eastAsia="Times New Roman" w:hAnsi="Times New Roman" w:cs="Times New Roman"/>
                <w:b/>
                <w:bCs/>
                <w:sz w:val="24"/>
                <w:szCs w:val="24"/>
                <w:lang w:eastAsia="fr-FR"/>
              </w:rPr>
              <w:t>CEDEAO</w:t>
            </w:r>
          </w:p>
        </w:tc>
        <w:tc>
          <w:tcPr>
            <w:tcW w:w="4174" w:type="pct"/>
            <w:tcBorders>
              <w:top w:val="nil"/>
              <w:left w:val="single" w:sz="4" w:space="0" w:color="auto"/>
              <w:bottom w:val="single" w:sz="4" w:space="0" w:color="auto"/>
              <w:right w:val="single" w:sz="4" w:space="0" w:color="auto"/>
            </w:tcBorders>
            <w:shd w:val="clear" w:color="auto" w:fill="FFFFFF" w:themeFill="background1"/>
          </w:tcPr>
          <w:p w14:paraId="1DB82993" w14:textId="77777777" w:rsidR="00D444E6" w:rsidRPr="004A6E37" w:rsidRDefault="00D444E6" w:rsidP="0003168A">
            <w:pPr>
              <w:spacing w:after="0" w:line="240" w:lineRule="auto"/>
              <w:jc w:val="both"/>
              <w:rPr>
                <w:rFonts w:ascii="Times New Roman" w:eastAsia="Times New Roman" w:hAnsi="Times New Roman" w:cs="Times New Roman"/>
                <w:bCs/>
                <w:sz w:val="24"/>
                <w:szCs w:val="24"/>
                <w:lang w:eastAsia="fr-FR"/>
              </w:rPr>
            </w:pPr>
            <w:r w:rsidRPr="004A6E37">
              <w:rPr>
                <w:rFonts w:ascii="Times New Roman" w:eastAsia="Times New Roman" w:hAnsi="Times New Roman" w:cs="Times New Roman"/>
                <w:sz w:val="24"/>
                <w:szCs w:val="24"/>
                <w:lang w:eastAsia="fr-FR"/>
              </w:rPr>
              <w:t>Communauté Economique des Etats de l’Afrique de l’Ouest</w:t>
            </w:r>
          </w:p>
        </w:tc>
      </w:tr>
      <w:tr w:rsidR="00D444E6" w:rsidRPr="004A6E37" w14:paraId="0B399AE4" w14:textId="77777777" w:rsidTr="00845383">
        <w:trPr>
          <w:trHeight w:val="174"/>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00D25196" w14:textId="77777777" w:rsidR="00D444E6" w:rsidRPr="004A6E37" w:rsidRDefault="00D444E6" w:rsidP="0003168A">
            <w:pPr>
              <w:spacing w:after="0" w:line="240" w:lineRule="auto"/>
              <w:jc w:val="both"/>
              <w:rPr>
                <w:rFonts w:ascii="Times New Roman" w:eastAsia="Times New Roman" w:hAnsi="Times New Roman" w:cs="Times New Roman"/>
                <w:b/>
                <w:bCs/>
                <w:sz w:val="24"/>
                <w:szCs w:val="24"/>
                <w:lang w:eastAsia="fr-FR"/>
              </w:rPr>
            </w:pPr>
            <w:r w:rsidRPr="004A6E37">
              <w:rPr>
                <w:rFonts w:ascii="Times New Roman" w:eastAsia="Times New Roman" w:hAnsi="Times New Roman" w:cs="Times New Roman"/>
                <w:b/>
                <w:bCs/>
                <w:sz w:val="24"/>
                <w:szCs w:val="24"/>
                <w:lang w:eastAsia="fr-FR"/>
              </w:rPr>
              <w:t>CENTIF</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F90A5E9" w14:textId="77777777" w:rsidR="00D444E6" w:rsidRPr="004A6E37" w:rsidRDefault="00D444E6" w:rsidP="0003168A">
            <w:pPr>
              <w:spacing w:after="0" w:line="240" w:lineRule="auto"/>
              <w:jc w:val="both"/>
              <w:rPr>
                <w:rFonts w:ascii="Times New Roman" w:eastAsia="Calibri" w:hAnsi="Times New Roman" w:cs="Times New Roman"/>
                <w:sz w:val="24"/>
                <w:szCs w:val="24"/>
              </w:rPr>
            </w:pPr>
            <w:r w:rsidRPr="004A6E37">
              <w:rPr>
                <w:rFonts w:ascii="Times New Roman" w:eastAsia="Times New Roman" w:hAnsi="Times New Roman" w:cs="Times New Roman"/>
                <w:sz w:val="24"/>
                <w:szCs w:val="24"/>
                <w:lang w:eastAsia="fr-FR"/>
              </w:rPr>
              <w:t>Cellule Nationale de Traitement des Informations Financières</w:t>
            </w:r>
          </w:p>
        </w:tc>
      </w:tr>
      <w:tr w:rsidR="00D444E6" w:rsidRPr="004A6E37" w14:paraId="15AFED39" w14:textId="77777777" w:rsidTr="00845383">
        <w:trPr>
          <w:trHeight w:val="179"/>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3BF7C122" w14:textId="77777777" w:rsidR="00D444E6" w:rsidRPr="004A6E37" w:rsidRDefault="00D444E6" w:rsidP="0003168A">
            <w:pPr>
              <w:spacing w:after="0" w:line="240" w:lineRule="auto"/>
              <w:jc w:val="both"/>
              <w:rPr>
                <w:rFonts w:ascii="Times New Roman" w:eastAsia="Times New Roman" w:hAnsi="Times New Roman" w:cs="Times New Roman"/>
                <w:b/>
                <w:sz w:val="24"/>
                <w:szCs w:val="24"/>
                <w:lang w:eastAsia="fr-FR"/>
              </w:rPr>
            </w:pPr>
            <w:r w:rsidRPr="004A6E37">
              <w:rPr>
                <w:rFonts w:ascii="Times New Roman" w:eastAsia="Times New Roman" w:hAnsi="Times New Roman" w:cs="Times New Roman"/>
                <w:b/>
                <w:sz w:val="24"/>
                <w:szCs w:val="24"/>
              </w:rPr>
              <w:t>CGSP</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2AB8FC33" w14:textId="77777777" w:rsidR="00D444E6" w:rsidRPr="004A6E37" w:rsidRDefault="00D444E6" w:rsidP="0003168A">
            <w:pPr>
              <w:spacing w:after="0" w:line="240" w:lineRule="auto"/>
              <w:jc w:val="both"/>
              <w:rPr>
                <w:rFonts w:ascii="Times New Roman" w:eastAsia="Calibri" w:hAnsi="Times New Roman" w:cs="Times New Roman"/>
                <w:sz w:val="24"/>
                <w:szCs w:val="24"/>
              </w:rPr>
            </w:pPr>
            <w:r w:rsidRPr="004A6E37">
              <w:rPr>
                <w:rFonts w:ascii="Times New Roman" w:eastAsia="Times New Roman" w:hAnsi="Times New Roman" w:cs="Times New Roman"/>
                <w:sz w:val="24"/>
                <w:szCs w:val="24"/>
                <w:lang w:eastAsia="fr-FR"/>
              </w:rPr>
              <w:t>Contrôle Général des Services Publics</w:t>
            </w:r>
          </w:p>
        </w:tc>
      </w:tr>
      <w:tr w:rsidR="00D444E6" w:rsidRPr="004A6E37" w14:paraId="3B3B0090" w14:textId="77777777" w:rsidTr="00845383">
        <w:trPr>
          <w:trHeight w:val="168"/>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192C5C21" w14:textId="77777777" w:rsidR="00D444E6" w:rsidRPr="004A6E37" w:rsidRDefault="00D444E6" w:rsidP="0003168A">
            <w:pPr>
              <w:spacing w:after="0" w:line="240" w:lineRule="auto"/>
              <w:jc w:val="both"/>
              <w:rPr>
                <w:rFonts w:ascii="Times New Roman" w:eastAsia="Times New Roman" w:hAnsi="Times New Roman" w:cs="Times New Roman"/>
                <w:b/>
                <w:bCs/>
                <w:sz w:val="24"/>
                <w:szCs w:val="24"/>
              </w:rPr>
            </w:pPr>
            <w:r w:rsidRPr="004A6E37">
              <w:rPr>
                <w:rFonts w:ascii="Times New Roman" w:hAnsi="Times New Roman" w:cs="Times New Roman"/>
                <w:b/>
                <w:sz w:val="24"/>
                <w:szCs w:val="24"/>
                <w:shd w:val="clear" w:color="auto" w:fill="FFFFFF"/>
              </w:rPr>
              <w:t>CRF</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55D72F36" w14:textId="77777777" w:rsidR="00D444E6" w:rsidRPr="004A6E37" w:rsidRDefault="00D444E6" w:rsidP="0003168A">
            <w:pPr>
              <w:spacing w:after="0" w:line="240" w:lineRule="auto"/>
              <w:jc w:val="both"/>
              <w:rPr>
                <w:rFonts w:ascii="Times New Roman" w:eastAsia="Times New Roman" w:hAnsi="Times New Roman" w:cs="Times New Roman"/>
                <w:bCs/>
                <w:sz w:val="24"/>
                <w:szCs w:val="24"/>
              </w:rPr>
            </w:pPr>
            <w:r w:rsidRPr="004A6E37">
              <w:rPr>
                <w:rFonts w:ascii="Times New Roman" w:hAnsi="Times New Roman" w:cs="Times New Roman"/>
                <w:sz w:val="24"/>
                <w:szCs w:val="24"/>
                <w:shd w:val="clear" w:color="auto" w:fill="FFFFFF"/>
              </w:rPr>
              <w:t>Cellules de Renseignement</w:t>
            </w:r>
            <w:r w:rsidR="002058AD" w:rsidRPr="004A6E37">
              <w:rPr>
                <w:rFonts w:ascii="Times New Roman" w:hAnsi="Times New Roman" w:cs="Times New Roman"/>
                <w:sz w:val="24"/>
                <w:szCs w:val="24"/>
                <w:shd w:val="clear" w:color="auto" w:fill="FFFFFF"/>
              </w:rPr>
              <w:t>s</w:t>
            </w:r>
            <w:r w:rsidRPr="004A6E37">
              <w:rPr>
                <w:rFonts w:ascii="Times New Roman" w:hAnsi="Times New Roman" w:cs="Times New Roman"/>
                <w:sz w:val="24"/>
                <w:szCs w:val="24"/>
                <w:shd w:val="clear" w:color="auto" w:fill="FFFFFF"/>
              </w:rPr>
              <w:t xml:space="preserve"> Financiers</w:t>
            </w:r>
          </w:p>
        </w:tc>
      </w:tr>
      <w:tr w:rsidR="00D444E6" w:rsidRPr="004A6E37" w14:paraId="16BE6F58" w14:textId="77777777" w:rsidTr="00845383">
        <w:trPr>
          <w:trHeight w:val="172"/>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619154E6" w14:textId="77777777" w:rsidR="00D444E6" w:rsidRPr="004A6E37" w:rsidRDefault="00D444E6" w:rsidP="00A45B45">
            <w:pPr>
              <w:spacing w:after="0" w:line="240" w:lineRule="auto"/>
              <w:jc w:val="both"/>
              <w:rPr>
                <w:rFonts w:ascii="Times New Roman" w:eastAsia="Times New Roman" w:hAnsi="Times New Roman" w:cs="Times New Roman"/>
                <w:b/>
                <w:sz w:val="24"/>
                <w:szCs w:val="24"/>
              </w:rPr>
            </w:pPr>
            <w:r w:rsidRPr="004A6E37">
              <w:rPr>
                <w:rFonts w:ascii="Times New Roman" w:hAnsi="Times New Roman" w:cs="Times New Roman"/>
                <w:b/>
                <w:sz w:val="24"/>
                <w:szCs w:val="24"/>
                <w:shd w:val="clear" w:color="auto" w:fill="FFFFFF"/>
              </w:rPr>
              <w:t>EM</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F72EB6D" w14:textId="77777777" w:rsidR="00D444E6" w:rsidRPr="004A6E37" w:rsidRDefault="00D444E6" w:rsidP="00A45B45">
            <w:pPr>
              <w:spacing w:after="0" w:line="240" w:lineRule="auto"/>
              <w:jc w:val="both"/>
              <w:rPr>
                <w:rFonts w:ascii="Times New Roman" w:eastAsia="Times New Roman" w:hAnsi="Times New Roman" w:cs="Times New Roman"/>
                <w:sz w:val="24"/>
                <w:szCs w:val="24"/>
              </w:rPr>
            </w:pPr>
            <w:r w:rsidRPr="004A6E37">
              <w:rPr>
                <w:rFonts w:ascii="Times New Roman" w:hAnsi="Times New Roman" w:cs="Times New Roman"/>
                <w:sz w:val="24"/>
                <w:szCs w:val="24"/>
                <w:shd w:val="clear" w:color="auto" w:fill="FFFFFF"/>
              </w:rPr>
              <w:t>Evaluation Mutuelle</w:t>
            </w:r>
          </w:p>
        </w:tc>
      </w:tr>
      <w:tr w:rsidR="00D444E6" w:rsidRPr="004A6E37" w14:paraId="74C77FA3" w14:textId="77777777" w:rsidTr="00845383">
        <w:trPr>
          <w:trHeight w:val="172"/>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22C24608" w14:textId="77777777" w:rsidR="00D444E6" w:rsidRPr="004A6E37" w:rsidRDefault="00D444E6" w:rsidP="00A45B45">
            <w:pPr>
              <w:spacing w:after="0" w:line="240" w:lineRule="auto"/>
              <w:rPr>
                <w:rFonts w:ascii="Times New Roman" w:hAnsi="Times New Roman" w:cs="Times New Roman"/>
                <w:b/>
                <w:sz w:val="24"/>
                <w:szCs w:val="24"/>
              </w:rPr>
            </w:pPr>
            <w:r w:rsidRPr="004A6E37">
              <w:rPr>
                <w:rFonts w:ascii="Times New Roman" w:hAnsi="Times New Roman" w:cs="Times New Roman"/>
                <w:b/>
                <w:sz w:val="24"/>
                <w:szCs w:val="24"/>
              </w:rPr>
              <w:t>ENR</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2056A30" w14:textId="77777777" w:rsidR="00D444E6" w:rsidRPr="004A6E37" w:rsidRDefault="00D444E6" w:rsidP="00A45B45">
            <w:pPr>
              <w:spacing w:after="0" w:line="240" w:lineRule="auto"/>
              <w:jc w:val="both"/>
              <w:rPr>
                <w:rFonts w:ascii="Times New Roman" w:eastAsia="Times New Roman" w:hAnsi="Times New Roman" w:cs="Times New Roman"/>
                <w:bCs/>
                <w:sz w:val="24"/>
                <w:szCs w:val="24"/>
              </w:rPr>
            </w:pPr>
            <w:r w:rsidRPr="004A6E37">
              <w:rPr>
                <w:rFonts w:ascii="Times New Roman" w:hAnsi="Times New Roman" w:cs="Times New Roman"/>
                <w:sz w:val="24"/>
                <w:szCs w:val="24"/>
                <w:shd w:val="clear" w:color="auto" w:fill="FFFFFF"/>
              </w:rPr>
              <w:t>Evaluation Nationale des Risques</w:t>
            </w:r>
          </w:p>
        </w:tc>
      </w:tr>
      <w:tr w:rsidR="00D444E6" w:rsidRPr="004A6E37" w14:paraId="71B67115" w14:textId="77777777" w:rsidTr="00845383">
        <w:trPr>
          <w:trHeight w:val="172"/>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24788601" w14:textId="77777777" w:rsidR="00D444E6" w:rsidRPr="004A6E37" w:rsidRDefault="00D444E6" w:rsidP="00A45B45">
            <w:pPr>
              <w:spacing w:after="0" w:line="240" w:lineRule="auto"/>
              <w:jc w:val="both"/>
              <w:rPr>
                <w:rFonts w:ascii="Times New Roman" w:eastAsia="Arial Unicode MS" w:hAnsi="Times New Roman" w:cs="Times New Roman"/>
                <w:b/>
                <w:sz w:val="24"/>
                <w:szCs w:val="24"/>
              </w:rPr>
            </w:pPr>
            <w:r w:rsidRPr="004A6E37">
              <w:rPr>
                <w:rFonts w:ascii="Times New Roman" w:hAnsi="Times New Roman" w:cs="Times New Roman"/>
                <w:b/>
                <w:sz w:val="24"/>
                <w:szCs w:val="24"/>
              </w:rPr>
              <w:t>FMI</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3EB99C85"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Fonds Monétaire International</w:t>
            </w:r>
          </w:p>
        </w:tc>
      </w:tr>
      <w:tr w:rsidR="00D444E6" w:rsidRPr="004A6E37" w14:paraId="2F3EC804" w14:textId="77777777" w:rsidTr="00845383">
        <w:trPr>
          <w:trHeight w:val="172"/>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7F1D1980" w14:textId="77777777" w:rsidR="00D444E6" w:rsidRPr="004A6E37" w:rsidRDefault="00D444E6" w:rsidP="0003168A">
            <w:pPr>
              <w:spacing w:after="0" w:line="240" w:lineRule="auto"/>
              <w:jc w:val="both"/>
              <w:rPr>
                <w:rFonts w:ascii="Times New Roman" w:hAnsi="Times New Roman" w:cs="Times New Roman"/>
                <w:b/>
                <w:sz w:val="24"/>
                <w:szCs w:val="24"/>
                <w:shd w:val="clear" w:color="auto" w:fill="FFFFFF"/>
              </w:rPr>
            </w:pPr>
            <w:r w:rsidRPr="004A6E37">
              <w:rPr>
                <w:rFonts w:ascii="Times New Roman" w:hAnsi="Times New Roman" w:cs="Times New Roman"/>
                <w:b/>
                <w:sz w:val="24"/>
                <w:szCs w:val="24"/>
                <w:shd w:val="clear" w:color="auto" w:fill="FFFFFF"/>
              </w:rPr>
              <w:t>GAFI</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A6852D7" w14:textId="77777777" w:rsidR="00D444E6" w:rsidRPr="004A6E37" w:rsidRDefault="00D444E6" w:rsidP="0003168A">
            <w:pPr>
              <w:spacing w:after="0" w:line="24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Groupe d’Action Financière</w:t>
            </w:r>
          </w:p>
        </w:tc>
      </w:tr>
      <w:tr w:rsidR="00D444E6" w:rsidRPr="004A6E37" w14:paraId="11674165" w14:textId="77777777" w:rsidTr="00845383">
        <w:trPr>
          <w:trHeight w:val="172"/>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168C06FD" w14:textId="77777777" w:rsidR="00D444E6" w:rsidRPr="004A6E37" w:rsidRDefault="00D444E6" w:rsidP="0003168A">
            <w:pPr>
              <w:spacing w:after="0" w:line="240" w:lineRule="auto"/>
              <w:jc w:val="both"/>
              <w:rPr>
                <w:rFonts w:ascii="Times New Roman" w:hAnsi="Times New Roman" w:cs="Times New Roman"/>
                <w:b/>
                <w:sz w:val="24"/>
                <w:szCs w:val="24"/>
                <w:shd w:val="clear" w:color="auto" w:fill="FFFFFF"/>
              </w:rPr>
            </w:pPr>
            <w:r w:rsidRPr="004A6E37">
              <w:rPr>
                <w:rFonts w:ascii="Times New Roman" w:hAnsi="Times New Roman" w:cs="Times New Roman"/>
                <w:b/>
                <w:sz w:val="24"/>
                <w:szCs w:val="24"/>
                <w:shd w:val="clear" w:color="auto" w:fill="FFFFFF"/>
              </w:rPr>
              <w:t>GIABA</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4F4E0F8" w14:textId="77777777" w:rsidR="00D444E6" w:rsidRPr="004A6E37" w:rsidRDefault="00D444E6" w:rsidP="002D5A1D">
            <w:pPr>
              <w:spacing w:after="0" w:line="24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Groupe Inter gouvernemental d’Action de lutte contre le blanchiment d’argent en Afrique de l’Ouest.</w:t>
            </w:r>
          </w:p>
        </w:tc>
      </w:tr>
      <w:tr w:rsidR="00D444E6" w:rsidRPr="004A6E37" w14:paraId="14D579CC"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4144751E"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GIE</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A4DC6ED"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Groupement d’intérêt économique</w:t>
            </w:r>
          </w:p>
        </w:tc>
      </w:tr>
      <w:tr w:rsidR="00D444E6" w:rsidRPr="004A6E37" w14:paraId="09315D46"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5CAE38C9"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shd w:val="clear" w:color="auto" w:fill="FFFFFF"/>
              </w:rPr>
              <w:t>ICRG/GAFI</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22C56145"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Groupe d’examen de la coopération internationale GAFI (Groupe d’action financière)</w:t>
            </w:r>
          </w:p>
        </w:tc>
      </w:tr>
      <w:tr w:rsidR="00D444E6" w:rsidRPr="004A6E37" w14:paraId="3C0C141E"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45D40BAA" w14:textId="77777777" w:rsidR="00D444E6" w:rsidRPr="004A6E37" w:rsidRDefault="00D444E6" w:rsidP="00A45B45">
            <w:pPr>
              <w:spacing w:after="0" w:line="240" w:lineRule="auto"/>
              <w:jc w:val="both"/>
              <w:rPr>
                <w:rFonts w:ascii="Times New Roman" w:eastAsia="Times New Roman" w:hAnsi="Times New Roman" w:cs="Times New Roman"/>
                <w:b/>
                <w:bCs/>
                <w:sz w:val="24"/>
                <w:szCs w:val="24"/>
                <w:lang w:eastAsia="fr-FR"/>
              </w:rPr>
            </w:pPr>
            <w:r w:rsidRPr="004A6E37">
              <w:rPr>
                <w:rFonts w:ascii="Times New Roman" w:hAnsi="Times New Roman" w:cs="Times New Roman"/>
                <w:b/>
                <w:sz w:val="24"/>
                <w:szCs w:val="24"/>
              </w:rPr>
              <w:t>LBC/FT</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2D04C4D" w14:textId="77777777" w:rsidR="00D444E6" w:rsidRPr="004A6E37" w:rsidRDefault="00D444E6" w:rsidP="00A45B45">
            <w:pPr>
              <w:spacing w:after="0" w:line="24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Lutte contre le Blanchiment de Capitaux et Financement du Terrorisme</w:t>
            </w:r>
          </w:p>
        </w:tc>
      </w:tr>
      <w:tr w:rsidR="00D444E6" w:rsidRPr="004A6E37" w14:paraId="55097565"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366C9D56"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OCDE</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FDCCF4B"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Organisation de coopération et de Développement économique</w:t>
            </w:r>
          </w:p>
        </w:tc>
      </w:tr>
      <w:tr w:rsidR="00D444E6" w:rsidRPr="004A6E37" w14:paraId="39F25D1F"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66E974FD"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OBNL</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2539EAD3"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Organisation à but non lucratif</w:t>
            </w:r>
          </w:p>
        </w:tc>
      </w:tr>
      <w:tr w:rsidR="00D444E6" w:rsidRPr="004A6E37" w14:paraId="389B4094"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21EB3825"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eastAsia="Times New Roman" w:hAnsi="Times New Roman" w:cs="Times New Roman"/>
                <w:b/>
                <w:bCs/>
                <w:sz w:val="24"/>
                <w:szCs w:val="24"/>
                <w:lang w:eastAsia="fr-FR"/>
              </w:rPr>
              <w:t>OCLEI</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D59AAA"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eastAsia="Times New Roman" w:hAnsi="Times New Roman" w:cs="Times New Roman"/>
                <w:bCs/>
                <w:sz w:val="24"/>
                <w:szCs w:val="24"/>
                <w:lang w:eastAsia="fr-FR"/>
              </w:rPr>
              <w:t>Office Central de Lutte Contre l’Enrichissement Illicite</w:t>
            </w:r>
          </w:p>
        </w:tc>
      </w:tr>
      <w:tr w:rsidR="00D444E6" w:rsidRPr="004A6E37" w14:paraId="6BB72200"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370938EB"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eastAsia="Calibri" w:hAnsi="Times New Roman" w:cs="Times New Roman"/>
                <w:b/>
                <w:sz w:val="24"/>
                <w:szCs w:val="24"/>
              </w:rPr>
              <w:t>ONG</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7D97053"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eastAsia="Times New Roman" w:hAnsi="Times New Roman" w:cs="Times New Roman"/>
                <w:sz w:val="24"/>
                <w:szCs w:val="24"/>
                <w:lang w:eastAsia="fr-FR"/>
              </w:rPr>
              <w:t>Organisation Non Gouvernementale</w:t>
            </w:r>
          </w:p>
        </w:tc>
      </w:tr>
      <w:tr w:rsidR="00D444E6" w:rsidRPr="004A6E37" w14:paraId="27E123AD"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6BA051F5"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OHADA</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00751CDE"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shd w:val="clear" w:color="auto" w:fill="FFFFFF"/>
              </w:rPr>
              <w:t>Organisation pour l’Harmonisation en Afrique du Droit des Affaires</w:t>
            </w:r>
          </w:p>
        </w:tc>
      </w:tr>
      <w:tr w:rsidR="00D444E6" w:rsidRPr="004A6E37" w14:paraId="361B4B29"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03227214" w14:textId="77777777" w:rsidR="00D444E6" w:rsidRPr="004A6E37" w:rsidRDefault="00D444E6" w:rsidP="00A45B45">
            <w:pPr>
              <w:spacing w:after="0" w:line="240" w:lineRule="auto"/>
              <w:jc w:val="both"/>
              <w:rPr>
                <w:rFonts w:ascii="Times New Roman" w:eastAsia="Arial Unicode MS" w:hAnsi="Times New Roman" w:cs="Times New Roman"/>
                <w:b/>
                <w:sz w:val="24"/>
                <w:szCs w:val="24"/>
              </w:rPr>
            </w:pPr>
            <w:r w:rsidRPr="004A6E37">
              <w:rPr>
                <w:rFonts w:ascii="Times New Roman" w:hAnsi="Times New Roman" w:cs="Times New Roman"/>
                <w:b/>
                <w:sz w:val="24"/>
                <w:szCs w:val="24"/>
              </w:rPr>
              <w:t>PNI-LDC</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5B7F1A28"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Programme National Intégré de Lutte contre le trafic illicite de Drogues et la Criminalité transnationale organisée</w:t>
            </w:r>
          </w:p>
        </w:tc>
      </w:tr>
      <w:tr w:rsidR="00D444E6" w:rsidRPr="004A6E37" w14:paraId="610BF912"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501F35CA" w14:textId="77777777" w:rsidR="00D444E6" w:rsidRPr="004A6E37" w:rsidRDefault="00D444E6" w:rsidP="007C3D0F">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RCCM</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585F74AD" w14:textId="77777777" w:rsidR="00D444E6" w:rsidRPr="004A6E37" w:rsidRDefault="00D444E6" w:rsidP="007C3D0F">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Registre du Commerce et de Crédit Mobilier  </w:t>
            </w:r>
          </w:p>
        </w:tc>
      </w:tr>
      <w:tr w:rsidR="00D444E6" w:rsidRPr="004A6E37" w14:paraId="330E77F8"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235F1AC8"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shd w:val="clear" w:color="auto" w:fill="FFFFFF"/>
              </w:rPr>
              <w:t>REM</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2932C12"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shd w:val="clear" w:color="auto" w:fill="FFFFFF"/>
              </w:rPr>
              <w:t>Rapport d’Evaluation Mutuelle</w:t>
            </w:r>
          </w:p>
        </w:tc>
      </w:tr>
      <w:tr w:rsidR="00D444E6" w:rsidRPr="004A6E37" w14:paraId="51AC1117"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4D1D3F3B" w14:textId="77777777" w:rsidR="00D444E6" w:rsidRPr="004A6E37" w:rsidRDefault="00D444E6" w:rsidP="007C3D0F">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SIJ</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760FA7FA" w14:textId="77777777" w:rsidR="00D444E6" w:rsidRPr="004A6E37" w:rsidRDefault="00D444E6" w:rsidP="007C3D0F">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Service d’investigation judiciaire</w:t>
            </w:r>
            <w:r w:rsidR="00745C12" w:rsidRPr="004A6E37">
              <w:rPr>
                <w:rFonts w:ascii="Times New Roman" w:hAnsi="Times New Roman" w:cs="Times New Roman"/>
                <w:sz w:val="24"/>
                <w:szCs w:val="24"/>
              </w:rPr>
              <w:t xml:space="preserve"> de la Gendarmerie nationale</w:t>
            </w:r>
          </w:p>
        </w:tc>
      </w:tr>
      <w:tr w:rsidR="00D444E6" w:rsidRPr="004A6E37" w14:paraId="40F831C8"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51186F27"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lang w:eastAsia="fr-FR"/>
              </w:rPr>
              <w:t>SA</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6D162B"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lang w:eastAsia="fr-FR"/>
              </w:rPr>
              <w:t>Société Anonyme</w:t>
            </w:r>
          </w:p>
        </w:tc>
      </w:tr>
      <w:tr w:rsidR="00D444E6" w:rsidRPr="004A6E37" w14:paraId="1679DAD5"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0C9AAE69" w14:textId="77777777" w:rsidR="00D444E6" w:rsidRPr="004A6E37" w:rsidRDefault="00D444E6" w:rsidP="00A45B45">
            <w:pPr>
              <w:spacing w:after="0" w:line="240" w:lineRule="auto"/>
              <w:jc w:val="both"/>
              <w:rPr>
                <w:rFonts w:ascii="Times New Roman" w:hAnsi="Times New Roman" w:cs="Times New Roman"/>
                <w:b/>
                <w:sz w:val="24"/>
                <w:szCs w:val="24"/>
                <w:lang w:eastAsia="fr-FR"/>
              </w:rPr>
            </w:pPr>
            <w:r w:rsidRPr="004A6E37">
              <w:rPr>
                <w:rFonts w:ascii="Times New Roman" w:hAnsi="Times New Roman" w:cs="Times New Roman"/>
                <w:b/>
                <w:sz w:val="24"/>
                <w:szCs w:val="24"/>
                <w:lang w:eastAsia="fr-FR"/>
              </w:rPr>
              <w:t>SARL</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2521A313" w14:textId="77777777" w:rsidR="00D444E6" w:rsidRPr="004A6E37" w:rsidRDefault="003F1E09" w:rsidP="00A45B45">
            <w:pPr>
              <w:spacing w:after="0" w:line="240" w:lineRule="auto"/>
              <w:jc w:val="both"/>
              <w:rPr>
                <w:rFonts w:ascii="Times New Roman" w:hAnsi="Times New Roman" w:cs="Times New Roman"/>
                <w:sz w:val="24"/>
                <w:szCs w:val="24"/>
                <w:lang w:eastAsia="fr-FR"/>
              </w:rPr>
            </w:pPr>
            <w:r w:rsidRPr="004A6E37">
              <w:rPr>
                <w:rFonts w:ascii="Times New Roman" w:hAnsi="Times New Roman" w:cs="Times New Roman"/>
                <w:sz w:val="24"/>
                <w:szCs w:val="24"/>
                <w:lang w:eastAsia="fr-FR"/>
              </w:rPr>
              <w:t xml:space="preserve">Société </w:t>
            </w:r>
            <w:r w:rsidR="00D444E6" w:rsidRPr="004A6E37">
              <w:rPr>
                <w:rFonts w:ascii="Times New Roman" w:hAnsi="Times New Roman" w:cs="Times New Roman"/>
                <w:sz w:val="24"/>
                <w:szCs w:val="24"/>
                <w:lang w:eastAsia="fr-FR"/>
              </w:rPr>
              <w:t>à Responsabilité Limitée</w:t>
            </w:r>
          </w:p>
        </w:tc>
      </w:tr>
      <w:tr w:rsidR="00D444E6" w:rsidRPr="004A6E37" w14:paraId="0472E3F7"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5BCCE96E"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hAnsi="Times New Roman" w:cs="Times New Roman"/>
                <w:b/>
                <w:sz w:val="24"/>
                <w:szCs w:val="24"/>
              </w:rPr>
              <w:t>SARLU</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5F2408CF"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hAnsi="Times New Roman" w:cs="Times New Roman"/>
                <w:sz w:val="24"/>
                <w:szCs w:val="24"/>
              </w:rPr>
              <w:t>Société anonyme à responsabilité unipersonnelle</w:t>
            </w:r>
          </w:p>
        </w:tc>
      </w:tr>
      <w:tr w:rsidR="00D444E6" w:rsidRPr="004A6E37" w14:paraId="1639DD11"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46A02A63" w14:textId="77777777" w:rsidR="00D444E6" w:rsidRPr="004A6E37" w:rsidRDefault="00D444E6" w:rsidP="00A45B45">
            <w:pPr>
              <w:spacing w:after="0" w:line="240" w:lineRule="auto"/>
              <w:jc w:val="both"/>
              <w:rPr>
                <w:rFonts w:ascii="Times New Roman" w:hAnsi="Times New Roman" w:cs="Times New Roman"/>
                <w:b/>
                <w:sz w:val="24"/>
                <w:szCs w:val="24"/>
                <w:lang w:eastAsia="fr-FR"/>
              </w:rPr>
            </w:pPr>
            <w:r w:rsidRPr="004A6E37">
              <w:rPr>
                <w:rFonts w:ascii="Times New Roman" w:hAnsi="Times New Roman" w:cs="Times New Roman"/>
                <w:b/>
                <w:sz w:val="24"/>
                <w:szCs w:val="24"/>
              </w:rPr>
              <w:t>SAS</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0986DF86" w14:textId="77777777" w:rsidR="00D444E6" w:rsidRPr="004A6E37" w:rsidRDefault="00D444E6" w:rsidP="00A45B45">
            <w:pPr>
              <w:spacing w:after="0" w:line="240" w:lineRule="auto"/>
              <w:jc w:val="both"/>
              <w:rPr>
                <w:rFonts w:ascii="Times New Roman" w:hAnsi="Times New Roman" w:cs="Times New Roman"/>
                <w:sz w:val="24"/>
                <w:szCs w:val="24"/>
                <w:lang w:eastAsia="fr-FR"/>
              </w:rPr>
            </w:pPr>
            <w:r w:rsidRPr="004A6E37">
              <w:rPr>
                <w:rFonts w:ascii="Times New Roman" w:hAnsi="Times New Roman" w:cs="Times New Roman"/>
                <w:sz w:val="24"/>
                <w:szCs w:val="24"/>
              </w:rPr>
              <w:t>Société par Actions Simplifiées</w:t>
            </w:r>
          </w:p>
        </w:tc>
      </w:tr>
      <w:tr w:rsidR="00D444E6" w:rsidRPr="004A6E37" w14:paraId="523C53D7"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44E2904B" w14:textId="77777777" w:rsidR="00D444E6" w:rsidRPr="004A6E37" w:rsidRDefault="00D444E6" w:rsidP="00A45B45">
            <w:pPr>
              <w:spacing w:after="0" w:line="240" w:lineRule="auto"/>
              <w:jc w:val="both"/>
              <w:rPr>
                <w:rFonts w:ascii="Times New Roman" w:hAnsi="Times New Roman" w:cs="Times New Roman"/>
                <w:b/>
                <w:sz w:val="24"/>
                <w:szCs w:val="24"/>
                <w:lang w:eastAsia="fr-FR"/>
              </w:rPr>
            </w:pPr>
            <w:r w:rsidRPr="004A6E37">
              <w:rPr>
                <w:rFonts w:ascii="Times New Roman" w:hAnsi="Times New Roman" w:cs="Times New Roman"/>
                <w:b/>
                <w:sz w:val="24"/>
                <w:szCs w:val="24"/>
              </w:rPr>
              <w:t>SCS</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42C67326" w14:textId="77777777" w:rsidR="00D444E6" w:rsidRPr="004A6E37" w:rsidRDefault="00D444E6" w:rsidP="00A45B45">
            <w:pPr>
              <w:spacing w:after="0" w:line="240" w:lineRule="auto"/>
              <w:jc w:val="both"/>
              <w:rPr>
                <w:rFonts w:ascii="Times New Roman" w:hAnsi="Times New Roman" w:cs="Times New Roman"/>
                <w:sz w:val="24"/>
                <w:szCs w:val="24"/>
                <w:lang w:eastAsia="fr-FR"/>
              </w:rPr>
            </w:pPr>
            <w:r w:rsidRPr="004A6E37">
              <w:rPr>
                <w:rFonts w:ascii="Times New Roman" w:hAnsi="Times New Roman" w:cs="Times New Roman"/>
                <w:sz w:val="24"/>
                <w:szCs w:val="24"/>
              </w:rPr>
              <w:t>Société en Commandite Simple</w:t>
            </w:r>
          </w:p>
        </w:tc>
      </w:tr>
      <w:tr w:rsidR="00D444E6" w:rsidRPr="004A6E37" w14:paraId="20AFC425"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6F69538B" w14:textId="77777777" w:rsidR="00D444E6" w:rsidRPr="004A6E37" w:rsidRDefault="00D444E6" w:rsidP="00A45B45">
            <w:pPr>
              <w:spacing w:after="0" w:line="240" w:lineRule="auto"/>
              <w:jc w:val="both"/>
              <w:rPr>
                <w:rFonts w:ascii="Times New Roman" w:hAnsi="Times New Roman" w:cs="Times New Roman"/>
                <w:b/>
                <w:sz w:val="24"/>
                <w:szCs w:val="24"/>
                <w:lang w:eastAsia="fr-FR"/>
              </w:rPr>
            </w:pPr>
            <w:r w:rsidRPr="004A6E37">
              <w:rPr>
                <w:rFonts w:ascii="Times New Roman" w:hAnsi="Times New Roman" w:cs="Times New Roman"/>
                <w:b/>
                <w:sz w:val="24"/>
                <w:szCs w:val="24"/>
              </w:rPr>
              <w:t>SNC</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36B6DFAD" w14:textId="77777777" w:rsidR="00D444E6" w:rsidRPr="004A6E37" w:rsidRDefault="00D444E6" w:rsidP="00A45B45">
            <w:pPr>
              <w:spacing w:after="0" w:line="240" w:lineRule="auto"/>
              <w:jc w:val="both"/>
              <w:rPr>
                <w:rFonts w:ascii="Times New Roman" w:hAnsi="Times New Roman" w:cs="Times New Roman"/>
                <w:sz w:val="24"/>
                <w:szCs w:val="24"/>
                <w:lang w:eastAsia="fr-FR"/>
              </w:rPr>
            </w:pPr>
            <w:r w:rsidRPr="004A6E37">
              <w:rPr>
                <w:rFonts w:ascii="Times New Roman" w:hAnsi="Times New Roman" w:cs="Times New Roman"/>
                <w:sz w:val="24"/>
                <w:szCs w:val="24"/>
              </w:rPr>
              <w:t>Société en Nom Collectif</w:t>
            </w:r>
          </w:p>
        </w:tc>
      </w:tr>
      <w:tr w:rsidR="00D444E6" w:rsidRPr="004A6E37" w14:paraId="572E7D08"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1204802F"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eastAsia="Times New Roman" w:hAnsi="Times New Roman" w:cs="Times New Roman"/>
                <w:b/>
                <w:bCs/>
                <w:sz w:val="24"/>
                <w:szCs w:val="24"/>
                <w:lang w:eastAsia="fr-FR"/>
              </w:rPr>
              <w:t>TDR</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51B63C27"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eastAsia="Times New Roman" w:hAnsi="Times New Roman" w:cs="Times New Roman"/>
                <w:sz w:val="24"/>
                <w:szCs w:val="24"/>
                <w:lang w:eastAsia="fr-FR"/>
              </w:rPr>
              <w:t>Termes De Référence</w:t>
            </w:r>
          </w:p>
        </w:tc>
      </w:tr>
      <w:tr w:rsidR="00D444E6" w:rsidRPr="004A6E37" w14:paraId="254D2F01" w14:textId="77777777" w:rsidTr="007C3D0F">
        <w:trPr>
          <w:trHeight w:val="7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14:paraId="2D7F8615" w14:textId="77777777" w:rsidR="00D444E6" w:rsidRPr="004A6E37" w:rsidRDefault="00D444E6" w:rsidP="00A45B45">
            <w:pPr>
              <w:spacing w:after="0" w:line="240" w:lineRule="auto"/>
              <w:jc w:val="both"/>
              <w:rPr>
                <w:rFonts w:ascii="Times New Roman" w:hAnsi="Times New Roman" w:cs="Times New Roman"/>
                <w:b/>
                <w:sz w:val="24"/>
                <w:szCs w:val="24"/>
              </w:rPr>
            </w:pPr>
            <w:r w:rsidRPr="004A6E37">
              <w:rPr>
                <w:rFonts w:ascii="Times New Roman" w:eastAsia="Times New Roman" w:hAnsi="Times New Roman" w:cs="Times New Roman"/>
                <w:b/>
                <w:bCs/>
                <w:sz w:val="24"/>
                <w:szCs w:val="24"/>
                <w:lang w:eastAsia="fr-FR"/>
              </w:rPr>
              <w:t>UEMOA</w:t>
            </w:r>
          </w:p>
        </w:tc>
        <w:tc>
          <w:tcPr>
            <w:tcW w:w="4174" w:type="pct"/>
            <w:tcBorders>
              <w:top w:val="single" w:sz="4" w:space="0" w:color="auto"/>
              <w:left w:val="single" w:sz="4" w:space="0" w:color="auto"/>
              <w:bottom w:val="single" w:sz="4" w:space="0" w:color="auto"/>
              <w:right w:val="single" w:sz="4" w:space="0" w:color="auto"/>
            </w:tcBorders>
            <w:shd w:val="clear" w:color="auto" w:fill="FFFFFF" w:themeFill="background1"/>
          </w:tcPr>
          <w:p w14:paraId="104795DE" w14:textId="77777777" w:rsidR="00D444E6" w:rsidRPr="004A6E37" w:rsidRDefault="00D444E6" w:rsidP="00A45B45">
            <w:pPr>
              <w:spacing w:after="0" w:line="240" w:lineRule="auto"/>
              <w:jc w:val="both"/>
              <w:rPr>
                <w:rFonts w:ascii="Times New Roman" w:hAnsi="Times New Roman" w:cs="Times New Roman"/>
                <w:sz w:val="24"/>
                <w:szCs w:val="24"/>
              </w:rPr>
            </w:pPr>
            <w:r w:rsidRPr="004A6E37">
              <w:rPr>
                <w:rFonts w:ascii="Times New Roman" w:eastAsia="Times New Roman" w:hAnsi="Times New Roman" w:cs="Times New Roman"/>
                <w:sz w:val="24"/>
                <w:szCs w:val="24"/>
                <w:lang w:eastAsia="fr-FR"/>
              </w:rPr>
              <w:t>Union Economique Monétaire Ouest Africaine</w:t>
            </w:r>
          </w:p>
        </w:tc>
      </w:tr>
    </w:tbl>
    <w:p w14:paraId="1D110C89" w14:textId="77777777" w:rsidR="008C09E6" w:rsidRPr="004A6E37" w:rsidRDefault="008C09E6">
      <w:pPr>
        <w:spacing w:after="0" w:line="240" w:lineRule="auto"/>
        <w:rPr>
          <w:rFonts w:ascii="Times New Roman" w:hAnsi="Times New Roman" w:cs="Times New Roman"/>
          <w:b/>
          <w:sz w:val="24"/>
          <w:szCs w:val="24"/>
        </w:rPr>
      </w:pPr>
    </w:p>
    <w:p w14:paraId="321AAF13" w14:textId="77777777" w:rsidR="009B7F30" w:rsidRPr="004A6E37" w:rsidRDefault="007C3D0F" w:rsidP="00655937">
      <w:pPr>
        <w:pStyle w:val="Titre1"/>
        <w:numPr>
          <w:ilvl w:val="0"/>
          <w:numId w:val="0"/>
        </w:numPr>
        <w:ind w:left="432"/>
        <w:rPr>
          <w:rFonts w:ascii="Times New Roman" w:hAnsi="Times New Roman" w:cs="Times New Roman"/>
          <w:b/>
          <w:color w:val="auto"/>
          <w:sz w:val="24"/>
          <w:szCs w:val="24"/>
        </w:rPr>
      </w:pPr>
      <w:r w:rsidRPr="004A6E37">
        <w:rPr>
          <w:rFonts w:ascii="Times New Roman" w:hAnsi="Times New Roman" w:cs="Times New Roman"/>
          <w:b/>
          <w:color w:val="auto"/>
          <w:sz w:val="24"/>
          <w:szCs w:val="24"/>
        </w:rPr>
        <w:br w:type="page"/>
      </w:r>
      <w:bookmarkStart w:id="2" w:name="_Toc126251851"/>
      <w:r w:rsidR="002E2BE8" w:rsidRPr="004A6E37">
        <w:rPr>
          <w:rFonts w:ascii="Times New Roman" w:hAnsi="Times New Roman" w:cs="Times New Roman"/>
          <w:b/>
          <w:color w:val="auto"/>
          <w:sz w:val="24"/>
          <w:szCs w:val="24"/>
        </w:rPr>
        <w:lastRenderedPageBreak/>
        <w:t>INTRODUCTION</w:t>
      </w:r>
      <w:bookmarkEnd w:id="2"/>
      <w:r w:rsidR="002E2BE8" w:rsidRPr="004A6E37">
        <w:rPr>
          <w:rFonts w:ascii="Times New Roman" w:hAnsi="Times New Roman" w:cs="Times New Roman"/>
          <w:b/>
          <w:color w:val="auto"/>
          <w:sz w:val="24"/>
          <w:szCs w:val="24"/>
        </w:rPr>
        <w:t xml:space="preserve"> </w:t>
      </w:r>
    </w:p>
    <w:p w14:paraId="44BB346F" w14:textId="77777777" w:rsidR="00FD31FD" w:rsidRPr="004A6E37" w:rsidRDefault="00FD31FD" w:rsidP="0053368E">
      <w:pPr>
        <w:spacing w:after="0" w:line="240" w:lineRule="auto"/>
        <w:rPr>
          <w:rFonts w:ascii="Times New Roman" w:hAnsi="Times New Roman" w:cs="Times New Roman"/>
          <w:b/>
          <w:sz w:val="24"/>
          <w:szCs w:val="24"/>
        </w:rPr>
      </w:pPr>
    </w:p>
    <w:p w14:paraId="5CD75991" w14:textId="77777777" w:rsidR="009B7F30" w:rsidRPr="004A6E37" w:rsidRDefault="002E2BE8" w:rsidP="00920BFE">
      <w:pPr>
        <w:pStyle w:val="Paragraphedeliste"/>
        <w:numPr>
          <w:ilvl w:val="0"/>
          <w:numId w:val="1"/>
        </w:numPr>
        <w:outlineLvl w:val="1"/>
        <w:rPr>
          <w:rFonts w:ascii="Times New Roman" w:hAnsi="Times New Roman" w:cs="Times New Roman"/>
          <w:b/>
          <w:sz w:val="24"/>
          <w:szCs w:val="24"/>
        </w:rPr>
      </w:pPr>
      <w:bookmarkStart w:id="3" w:name="_Toc126251852"/>
      <w:r w:rsidRPr="004A6E37">
        <w:rPr>
          <w:rFonts w:ascii="Times New Roman" w:hAnsi="Times New Roman" w:cs="Times New Roman"/>
          <w:b/>
          <w:sz w:val="24"/>
          <w:szCs w:val="24"/>
        </w:rPr>
        <w:t>Contexte et justification de l'étude</w:t>
      </w:r>
      <w:bookmarkEnd w:id="3"/>
    </w:p>
    <w:p w14:paraId="4C94084F" w14:textId="77777777" w:rsidR="009B7F30" w:rsidRPr="004A6E37" w:rsidRDefault="002E2BE8">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Le Mali est un vaste pays de l’Afrique de l’Ouest couvrant une superficie de 1 241 238 km</w:t>
      </w:r>
      <w:r w:rsidRPr="004A6E37">
        <w:rPr>
          <w:rFonts w:ascii="Times New Roman" w:hAnsi="Times New Roman" w:cs="Times New Roman"/>
          <w:sz w:val="24"/>
          <w:szCs w:val="24"/>
          <w:shd w:val="clear" w:color="auto" w:fill="FFFFFF"/>
          <w:vertAlign w:val="superscript"/>
        </w:rPr>
        <w:t xml:space="preserve">2 </w:t>
      </w:r>
      <w:r w:rsidRPr="004A6E37">
        <w:rPr>
          <w:rFonts w:ascii="Times New Roman" w:hAnsi="Times New Roman" w:cs="Times New Roman"/>
          <w:sz w:val="24"/>
          <w:szCs w:val="24"/>
          <w:shd w:val="clear" w:color="auto" w:fill="FFFFFF"/>
        </w:rPr>
        <w:t>avec une population d’environ 20 millions d’habitants</w:t>
      </w:r>
      <w:r w:rsidR="00C550E7" w:rsidRPr="004A6E37">
        <w:rPr>
          <w:rFonts w:ascii="Times New Roman" w:hAnsi="Times New Roman" w:cs="Times New Roman"/>
          <w:sz w:val="24"/>
          <w:szCs w:val="24"/>
          <w:shd w:val="clear" w:color="auto" w:fill="FFFFFF"/>
        </w:rPr>
        <w:t>.</w:t>
      </w:r>
      <w:r w:rsidRPr="004A6E37">
        <w:rPr>
          <w:rFonts w:ascii="Times New Roman" w:hAnsi="Times New Roman" w:cs="Times New Roman"/>
          <w:sz w:val="24"/>
          <w:szCs w:val="24"/>
          <w:shd w:val="clear" w:color="auto" w:fill="FFFFFF"/>
        </w:rPr>
        <w:t xml:space="preserve"> Près de</w:t>
      </w:r>
      <w:r w:rsidR="002F77D4" w:rsidRPr="004A6E37">
        <w:rPr>
          <w:rFonts w:ascii="Times New Roman" w:hAnsi="Times New Roman" w:cs="Times New Roman"/>
          <w:sz w:val="24"/>
          <w:szCs w:val="24"/>
          <w:shd w:val="clear" w:color="auto" w:fill="FFFFFF"/>
        </w:rPr>
        <w:t xml:space="preserve"> la moitié de cette population </w:t>
      </w:r>
      <w:r w:rsidR="009737F3" w:rsidRPr="004A6E37">
        <w:rPr>
          <w:rFonts w:ascii="Times New Roman" w:hAnsi="Times New Roman" w:cs="Times New Roman"/>
          <w:sz w:val="24"/>
          <w:szCs w:val="24"/>
          <w:shd w:val="clear" w:color="auto" w:fill="FFFFFF"/>
        </w:rPr>
        <w:t>a</w:t>
      </w:r>
      <w:r w:rsidRPr="004A6E37">
        <w:rPr>
          <w:rFonts w:ascii="Times New Roman" w:hAnsi="Times New Roman" w:cs="Times New Roman"/>
          <w:sz w:val="24"/>
          <w:szCs w:val="24"/>
          <w:shd w:val="clear" w:color="auto" w:fill="FFFFFF"/>
        </w:rPr>
        <w:t xml:space="preserve"> moins de 15 ans. </w:t>
      </w:r>
      <w:r w:rsidR="00E319AA" w:rsidRPr="004A6E37">
        <w:rPr>
          <w:rFonts w:ascii="Times New Roman" w:hAnsi="Times New Roman" w:cs="Times New Roman"/>
          <w:sz w:val="24"/>
          <w:szCs w:val="24"/>
          <w:shd w:val="clear" w:color="auto" w:fill="FFFFFF"/>
        </w:rPr>
        <w:t>La population</w:t>
      </w:r>
      <w:r w:rsidR="005D5164" w:rsidRPr="004A6E37">
        <w:rPr>
          <w:rFonts w:ascii="Times New Roman" w:hAnsi="Times New Roman" w:cs="Times New Roman"/>
          <w:sz w:val="24"/>
          <w:szCs w:val="24"/>
          <w:shd w:val="clear" w:color="auto" w:fill="FFFFFF"/>
        </w:rPr>
        <w:t xml:space="preserve"> </w:t>
      </w:r>
      <w:r w:rsidRPr="004A6E37">
        <w:rPr>
          <w:rFonts w:ascii="Times New Roman" w:hAnsi="Times New Roman" w:cs="Times New Roman"/>
          <w:sz w:val="24"/>
          <w:szCs w:val="24"/>
          <w:shd w:val="clear" w:color="auto" w:fill="FFFFFF"/>
        </w:rPr>
        <w:t>se caractérise</w:t>
      </w:r>
      <w:r w:rsidR="008123E7" w:rsidRPr="004A6E37">
        <w:rPr>
          <w:rFonts w:ascii="Times New Roman" w:hAnsi="Times New Roman" w:cs="Times New Roman"/>
          <w:sz w:val="24"/>
          <w:szCs w:val="24"/>
          <w:shd w:val="clear" w:color="auto" w:fill="FFFFFF"/>
        </w:rPr>
        <w:t xml:space="preserve"> aussi</w:t>
      </w:r>
      <w:r w:rsidRPr="004A6E37">
        <w:rPr>
          <w:rFonts w:ascii="Times New Roman" w:hAnsi="Times New Roman" w:cs="Times New Roman"/>
          <w:sz w:val="24"/>
          <w:szCs w:val="24"/>
          <w:shd w:val="clear" w:color="auto" w:fill="FFFFFF"/>
        </w:rPr>
        <w:t xml:space="preserve"> par une répartition spatiale déséquilibrée entre le nord et le centre d’une part et </w:t>
      </w:r>
      <w:r w:rsidR="007813D7" w:rsidRPr="004A6E37">
        <w:rPr>
          <w:rFonts w:ascii="Times New Roman" w:hAnsi="Times New Roman" w:cs="Times New Roman"/>
          <w:sz w:val="24"/>
          <w:szCs w:val="24"/>
          <w:shd w:val="clear" w:color="auto" w:fill="FFFFFF"/>
        </w:rPr>
        <w:t xml:space="preserve">entre </w:t>
      </w:r>
      <w:r w:rsidRPr="004A6E37">
        <w:rPr>
          <w:rFonts w:ascii="Times New Roman" w:hAnsi="Times New Roman" w:cs="Times New Roman"/>
          <w:sz w:val="24"/>
          <w:szCs w:val="24"/>
          <w:shd w:val="clear" w:color="auto" w:fill="FFFFFF"/>
        </w:rPr>
        <w:t>le</w:t>
      </w:r>
      <w:r w:rsidR="00795142" w:rsidRPr="004A6E37">
        <w:rPr>
          <w:rFonts w:ascii="Times New Roman" w:hAnsi="Times New Roman" w:cs="Times New Roman"/>
          <w:sz w:val="24"/>
          <w:szCs w:val="24"/>
          <w:shd w:val="clear" w:color="auto" w:fill="FFFFFF"/>
        </w:rPr>
        <w:t xml:space="preserve"> nord et</w:t>
      </w:r>
      <w:r w:rsidR="00C550E7" w:rsidRPr="004A6E37">
        <w:rPr>
          <w:rFonts w:ascii="Times New Roman" w:hAnsi="Times New Roman" w:cs="Times New Roman"/>
          <w:sz w:val="24"/>
          <w:szCs w:val="24"/>
          <w:shd w:val="clear" w:color="auto" w:fill="FFFFFF"/>
        </w:rPr>
        <w:t xml:space="preserve"> sud d’autre part. Le sud concentre 90% de la population. Essentiellement rurale, la population se </w:t>
      </w:r>
      <w:r w:rsidR="00C05397" w:rsidRPr="004A6E37">
        <w:rPr>
          <w:rFonts w:ascii="Times New Roman" w:hAnsi="Times New Roman" w:cs="Times New Roman"/>
          <w:sz w:val="24"/>
          <w:szCs w:val="24"/>
          <w:shd w:val="clear" w:color="auto" w:fill="FFFFFF"/>
        </w:rPr>
        <w:t xml:space="preserve">caractérise </w:t>
      </w:r>
      <w:r w:rsidR="008123E7" w:rsidRPr="004A6E37">
        <w:rPr>
          <w:rFonts w:ascii="Times New Roman" w:hAnsi="Times New Roman" w:cs="Times New Roman"/>
          <w:sz w:val="24"/>
          <w:szCs w:val="24"/>
          <w:shd w:val="clear" w:color="auto" w:fill="FFFFFF"/>
        </w:rPr>
        <w:t>enfin</w:t>
      </w:r>
      <w:r w:rsidR="00C550E7" w:rsidRPr="004A6E37">
        <w:rPr>
          <w:rFonts w:ascii="Times New Roman" w:hAnsi="Times New Roman" w:cs="Times New Roman"/>
          <w:sz w:val="24"/>
          <w:szCs w:val="24"/>
          <w:shd w:val="clear" w:color="auto" w:fill="FFFFFF"/>
        </w:rPr>
        <w:t xml:space="preserve"> </w:t>
      </w:r>
      <w:r w:rsidRPr="004A6E37">
        <w:rPr>
          <w:rFonts w:ascii="Times New Roman" w:hAnsi="Times New Roman" w:cs="Times New Roman"/>
          <w:sz w:val="24"/>
          <w:szCs w:val="24"/>
          <w:shd w:val="clear" w:color="auto" w:fill="FFFFFF"/>
        </w:rPr>
        <w:t xml:space="preserve">par l’importance des migrations vers les villes </w:t>
      </w:r>
      <w:r w:rsidR="00497EC7" w:rsidRPr="004A6E37">
        <w:rPr>
          <w:rFonts w:ascii="Times New Roman" w:hAnsi="Times New Roman" w:cs="Times New Roman"/>
          <w:sz w:val="24"/>
          <w:szCs w:val="24"/>
          <w:shd w:val="clear" w:color="auto" w:fill="FFFFFF"/>
        </w:rPr>
        <w:t>et/</w:t>
      </w:r>
      <w:r w:rsidRPr="004A6E37">
        <w:rPr>
          <w:rFonts w:ascii="Times New Roman" w:hAnsi="Times New Roman" w:cs="Times New Roman"/>
          <w:sz w:val="24"/>
          <w:szCs w:val="24"/>
          <w:shd w:val="clear" w:color="auto" w:fill="FFFFFF"/>
        </w:rPr>
        <w:t>ou vers l’étranger.</w:t>
      </w:r>
    </w:p>
    <w:p w14:paraId="660FA978" w14:textId="77777777" w:rsidR="009B7F30" w:rsidRPr="004A6E37" w:rsidRDefault="002E2BE8">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 xml:space="preserve">Au Mali, la </w:t>
      </w:r>
      <w:r w:rsidR="0082188D" w:rsidRPr="004A6E37">
        <w:rPr>
          <w:rFonts w:ascii="Times New Roman" w:hAnsi="Times New Roman" w:cs="Times New Roman"/>
          <w:sz w:val="24"/>
          <w:szCs w:val="24"/>
          <w:shd w:val="clear" w:color="auto" w:fill="FFFFFF"/>
        </w:rPr>
        <w:t xml:space="preserve">Lutte </w:t>
      </w:r>
      <w:r w:rsidRPr="004A6E37">
        <w:rPr>
          <w:rFonts w:ascii="Times New Roman" w:hAnsi="Times New Roman" w:cs="Times New Roman"/>
          <w:sz w:val="24"/>
          <w:szCs w:val="24"/>
          <w:shd w:val="clear" w:color="auto" w:fill="FFFFFF"/>
        </w:rPr>
        <w:t xml:space="preserve">contre le </w:t>
      </w:r>
      <w:r w:rsidR="0082188D" w:rsidRPr="004A6E37">
        <w:rPr>
          <w:rFonts w:ascii="Times New Roman" w:hAnsi="Times New Roman" w:cs="Times New Roman"/>
          <w:sz w:val="24"/>
          <w:szCs w:val="24"/>
          <w:shd w:val="clear" w:color="auto" w:fill="FFFFFF"/>
        </w:rPr>
        <w:t xml:space="preserve">Blanchiment </w:t>
      </w:r>
      <w:r w:rsidRPr="004A6E37">
        <w:rPr>
          <w:rFonts w:ascii="Times New Roman" w:hAnsi="Times New Roman" w:cs="Times New Roman"/>
          <w:sz w:val="24"/>
          <w:szCs w:val="24"/>
          <w:shd w:val="clear" w:color="auto" w:fill="FFFFFF"/>
        </w:rPr>
        <w:t xml:space="preserve">de </w:t>
      </w:r>
      <w:r w:rsidR="0082188D" w:rsidRPr="004A6E37">
        <w:rPr>
          <w:rFonts w:ascii="Times New Roman" w:hAnsi="Times New Roman" w:cs="Times New Roman"/>
          <w:sz w:val="24"/>
          <w:szCs w:val="24"/>
          <w:shd w:val="clear" w:color="auto" w:fill="FFFFFF"/>
        </w:rPr>
        <w:t>Capitaux</w:t>
      </w:r>
      <w:r w:rsidRPr="004A6E37">
        <w:rPr>
          <w:rFonts w:ascii="Times New Roman" w:hAnsi="Times New Roman" w:cs="Times New Roman"/>
          <w:sz w:val="24"/>
          <w:szCs w:val="24"/>
          <w:shd w:val="clear" w:color="auto" w:fill="FFFFFF"/>
        </w:rPr>
        <w:t xml:space="preserve">, le </w:t>
      </w:r>
      <w:r w:rsidR="0082188D" w:rsidRPr="004A6E37">
        <w:rPr>
          <w:rFonts w:ascii="Times New Roman" w:hAnsi="Times New Roman" w:cs="Times New Roman"/>
          <w:sz w:val="24"/>
          <w:szCs w:val="24"/>
          <w:shd w:val="clear" w:color="auto" w:fill="FFFFFF"/>
        </w:rPr>
        <w:t xml:space="preserve">Financement </w:t>
      </w:r>
      <w:r w:rsidRPr="004A6E37">
        <w:rPr>
          <w:rFonts w:ascii="Times New Roman" w:hAnsi="Times New Roman" w:cs="Times New Roman"/>
          <w:sz w:val="24"/>
          <w:szCs w:val="24"/>
          <w:shd w:val="clear" w:color="auto" w:fill="FFFFFF"/>
        </w:rPr>
        <w:t xml:space="preserve">du </w:t>
      </w:r>
      <w:r w:rsidR="0082188D" w:rsidRPr="004A6E37">
        <w:rPr>
          <w:rFonts w:ascii="Times New Roman" w:hAnsi="Times New Roman" w:cs="Times New Roman"/>
          <w:sz w:val="24"/>
          <w:szCs w:val="24"/>
          <w:shd w:val="clear" w:color="auto" w:fill="FFFFFF"/>
        </w:rPr>
        <w:t xml:space="preserve">Terrorisme </w:t>
      </w:r>
      <w:r w:rsidRPr="004A6E37">
        <w:rPr>
          <w:rFonts w:ascii="Times New Roman" w:hAnsi="Times New Roman" w:cs="Times New Roman"/>
          <w:sz w:val="24"/>
          <w:szCs w:val="24"/>
          <w:shd w:val="clear" w:color="auto" w:fill="FFFFFF"/>
        </w:rPr>
        <w:t xml:space="preserve">et de la </w:t>
      </w:r>
      <w:r w:rsidR="0082188D" w:rsidRPr="004A6E37">
        <w:rPr>
          <w:rFonts w:ascii="Times New Roman" w:hAnsi="Times New Roman" w:cs="Times New Roman"/>
          <w:sz w:val="24"/>
          <w:szCs w:val="24"/>
          <w:shd w:val="clear" w:color="auto" w:fill="FFFFFF"/>
        </w:rPr>
        <w:t>Prolifération</w:t>
      </w:r>
      <w:r w:rsidR="007516A3" w:rsidRPr="004A6E37">
        <w:rPr>
          <w:rFonts w:ascii="Times New Roman" w:hAnsi="Times New Roman" w:cs="Times New Roman"/>
          <w:sz w:val="24"/>
          <w:szCs w:val="24"/>
          <w:shd w:val="clear" w:color="auto" w:fill="FFFFFF"/>
        </w:rPr>
        <w:t xml:space="preserve"> des armes de destruction massive</w:t>
      </w:r>
      <w:r w:rsidR="0082188D" w:rsidRPr="004A6E37">
        <w:rPr>
          <w:rFonts w:ascii="Times New Roman" w:hAnsi="Times New Roman" w:cs="Times New Roman"/>
          <w:sz w:val="24"/>
          <w:szCs w:val="24"/>
          <w:shd w:val="clear" w:color="auto" w:fill="FFFFFF"/>
        </w:rPr>
        <w:t xml:space="preserve"> </w:t>
      </w:r>
      <w:r w:rsidR="001C3710" w:rsidRPr="004A6E37">
        <w:rPr>
          <w:rFonts w:ascii="Times New Roman" w:hAnsi="Times New Roman" w:cs="Times New Roman"/>
          <w:sz w:val="24"/>
          <w:szCs w:val="24"/>
          <w:shd w:val="clear" w:color="auto" w:fill="FFFFFF"/>
        </w:rPr>
        <w:t>(LBC/FT/FP) est au cœur</w:t>
      </w:r>
      <w:r w:rsidRPr="004A6E37">
        <w:rPr>
          <w:rFonts w:ascii="Times New Roman" w:hAnsi="Times New Roman" w:cs="Times New Roman"/>
          <w:sz w:val="24"/>
          <w:szCs w:val="24"/>
          <w:shd w:val="clear" w:color="auto" w:fill="FFFFFF"/>
        </w:rPr>
        <w:t xml:space="preserve"> des priorités nationales. Les </w:t>
      </w:r>
      <w:r w:rsidR="00D82FEE" w:rsidRPr="004A6E37">
        <w:rPr>
          <w:rFonts w:ascii="Times New Roman" w:hAnsi="Times New Roman" w:cs="Times New Roman"/>
          <w:sz w:val="24"/>
          <w:szCs w:val="24"/>
          <w:shd w:val="clear" w:color="auto" w:fill="FFFFFF"/>
        </w:rPr>
        <w:t xml:space="preserve">enjeux majeurs pour le pays sont constitués par les </w:t>
      </w:r>
      <w:r w:rsidRPr="004A6E37">
        <w:rPr>
          <w:rFonts w:ascii="Times New Roman" w:hAnsi="Times New Roman" w:cs="Times New Roman"/>
          <w:sz w:val="24"/>
          <w:szCs w:val="24"/>
          <w:shd w:val="clear" w:color="auto" w:fill="FFFFFF"/>
        </w:rPr>
        <w:t>menaces que posent le terrorisme et les réseaux d’activités criminelles connexes, les fortes attentes exprimées par la société face à la délinquance économique et financière et la nécessité de préserver l’intégrité du système financier nat</w:t>
      </w:r>
      <w:r w:rsidR="00D82FEE" w:rsidRPr="004A6E37">
        <w:rPr>
          <w:rFonts w:ascii="Times New Roman" w:hAnsi="Times New Roman" w:cs="Times New Roman"/>
          <w:sz w:val="24"/>
          <w:szCs w:val="24"/>
          <w:shd w:val="clear" w:color="auto" w:fill="FFFFFF"/>
        </w:rPr>
        <w:t>ional</w:t>
      </w:r>
      <w:r w:rsidRPr="004A6E37">
        <w:rPr>
          <w:rFonts w:ascii="Times New Roman" w:hAnsi="Times New Roman" w:cs="Times New Roman"/>
          <w:sz w:val="24"/>
          <w:szCs w:val="24"/>
          <w:shd w:val="clear" w:color="auto" w:fill="FFFFFF"/>
        </w:rPr>
        <w:t>.</w:t>
      </w:r>
    </w:p>
    <w:p w14:paraId="01E55A95" w14:textId="77777777" w:rsidR="009B7F30" w:rsidRPr="004A6E37" w:rsidRDefault="002E2BE8">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Conscient des impacts négatifs du</w:t>
      </w:r>
      <w:r w:rsidR="009B6550" w:rsidRPr="004A6E37">
        <w:rPr>
          <w:rFonts w:ascii="Times New Roman" w:hAnsi="Times New Roman" w:cs="Times New Roman"/>
          <w:sz w:val="24"/>
          <w:szCs w:val="24"/>
          <w:shd w:val="clear" w:color="auto" w:fill="FFFFFF"/>
        </w:rPr>
        <w:t xml:space="preserve"> Blanchiment de Capitaux et le F</w:t>
      </w:r>
      <w:r w:rsidRPr="004A6E37">
        <w:rPr>
          <w:rFonts w:ascii="Times New Roman" w:hAnsi="Times New Roman" w:cs="Times New Roman"/>
          <w:sz w:val="24"/>
          <w:szCs w:val="24"/>
          <w:shd w:val="clear" w:color="auto" w:fill="FFFFFF"/>
        </w:rPr>
        <w:t xml:space="preserve">inancement du Terrorisme et de la </w:t>
      </w:r>
      <w:r w:rsidR="006044FF" w:rsidRPr="004A6E37">
        <w:rPr>
          <w:rFonts w:ascii="Times New Roman" w:hAnsi="Times New Roman" w:cs="Times New Roman"/>
          <w:sz w:val="24"/>
          <w:szCs w:val="24"/>
          <w:shd w:val="clear" w:color="auto" w:fill="FFFFFF"/>
        </w:rPr>
        <w:t xml:space="preserve">Prolifération </w:t>
      </w:r>
      <w:r w:rsidR="00FD31FD" w:rsidRPr="004A6E37">
        <w:rPr>
          <w:rFonts w:ascii="Times New Roman" w:hAnsi="Times New Roman" w:cs="Times New Roman"/>
          <w:sz w:val="24"/>
          <w:szCs w:val="24"/>
          <w:shd w:val="clear" w:color="auto" w:fill="FFFFFF"/>
        </w:rPr>
        <w:t>des armes de destruction massive</w:t>
      </w:r>
      <w:r w:rsidR="00D25B9F" w:rsidRPr="004A6E37">
        <w:rPr>
          <w:rFonts w:ascii="Times New Roman" w:hAnsi="Times New Roman" w:cs="Times New Roman"/>
          <w:sz w:val="24"/>
          <w:szCs w:val="24"/>
          <w:shd w:val="clear" w:color="auto" w:fill="FFFFFF"/>
        </w:rPr>
        <w:t xml:space="preserve"> (</w:t>
      </w:r>
      <w:r w:rsidRPr="004A6E37">
        <w:rPr>
          <w:rFonts w:ascii="Times New Roman" w:hAnsi="Times New Roman" w:cs="Times New Roman"/>
          <w:sz w:val="24"/>
          <w:szCs w:val="24"/>
          <w:shd w:val="clear" w:color="auto" w:fill="FFFFFF"/>
        </w:rPr>
        <w:t>BC/FT/FP) sur son développement socio-économique, le pays s’est résolument engagé depuis plusieurs années à réserver une lutte efficace contre ces fléaux en veillant à atténuer les risques y afférents sur son territoire. Pour y parvenir, le Mali s’est doté d’un cadre juridique approprié s’articulant autour de la Loi n° 2016-008 du 17 mars 2016 portant loi uniforme relative à la lutte contre le blanchiment de capitaux et le financement du terrorisme (LBC/FT).</w:t>
      </w:r>
    </w:p>
    <w:p w14:paraId="56D0AE84" w14:textId="77777777" w:rsidR="00FD31FD" w:rsidRPr="004A6E37" w:rsidRDefault="002E2BE8">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 xml:space="preserve">Dans le cadre de l’exécution de ses missions, la </w:t>
      </w:r>
      <w:r w:rsidR="0082576F" w:rsidRPr="004A6E37">
        <w:rPr>
          <w:rFonts w:ascii="Times New Roman" w:eastAsia="Times New Roman" w:hAnsi="Times New Roman" w:cs="Times New Roman"/>
          <w:sz w:val="24"/>
          <w:szCs w:val="24"/>
          <w:lang w:eastAsia="fr-FR"/>
        </w:rPr>
        <w:t>Cellule Nationale de Traitement des Informations Financières</w:t>
      </w:r>
      <w:r w:rsidR="0082576F" w:rsidRPr="004A6E37">
        <w:rPr>
          <w:rFonts w:ascii="Times New Roman" w:hAnsi="Times New Roman" w:cs="Times New Roman"/>
          <w:sz w:val="24"/>
          <w:szCs w:val="24"/>
          <w:shd w:val="clear" w:color="auto" w:fill="FFFFFF"/>
        </w:rPr>
        <w:t xml:space="preserve"> (</w:t>
      </w:r>
      <w:r w:rsidRPr="004A6E37">
        <w:rPr>
          <w:rFonts w:ascii="Times New Roman" w:hAnsi="Times New Roman" w:cs="Times New Roman"/>
          <w:sz w:val="24"/>
          <w:szCs w:val="24"/>
          <w:shd w:val="clear" w:color="auto" w:fill="FFFFFF"/>
        </w:rPr>
        <w:t>CENTIF</w:t>
      </w:r>
      <w:r w:rsidR="0082576F" w:rsidRPr="004A6E37">
        <w:rPr>
          <w:rFonts w:ascii="Times New Roman" w:hAnsi="Times New Roman" w:cs="Times New Roman"/>
          <w:sz w:val="24"/>
          <w:szCs w:val="24"/>
          <w:shd w:val="clear" w:color="auto" w:fill="FFFFFF"/>
        </w:rPr>
        <w:t>)</w:t>
      </w:r>
      <w:r w:rsidRPr="004A6E37">
        <w:rPr>
          <w:rFonts w:ascii="Times New Roman" w:hAnsi="Times New Roman" w:cs="Times New Roman"/>
          <w:sz w:val="24"/>
          <w:szCs w:val="24"/>
          <w:shd w:val="clear" w:color="auto" w:fill="FFFFFF"/>
        </w:rPr>
        <w:t xml:space="preserve"> bénéficie d’un cadre de coopération. En plus d’être membre du </w:t>
      </w:r>
      <w:r w:rsidR="00D17DB2" w:rsidRPr="004A6E37">
        <w:rPr>
          <w:rFonts w:ascii="Times New Roman" w:hAnsi="Times New Roman" w:cs="Times New Roman"/>
          <w:sz w:val="24"/>
          <w:szCs w:val="24"/>
          <w:shd w:val="clear" w:color="auto" w:fill="FFFFFF"/>
        </w:rPr>
        <w:t>Groupe Inter gouvernemental d’Action de lutte contre le blanchiment d’argent en Afrique de l’Ouest (</w:t>
      </w:r>
      <w:r w:rsidRPr="004A6E37">
        <w:rPr>
          <w:rFonts w:ascii="Times New Roman" w:hAnsi="Times New Roman" w:cs="Times New Roman"/>
          <w:sz w:val="24"/>
          <w:szCs w:val="24"/>
          <w:shd w:val="clear" w:color="auto" w:fill="FFFFFF"/>
        </w:rPr>
        <w:t>GIABA</w:t>
      </w:r>
      <w:r w:rsidR="00D17DB2" w:rsidRPr="004A6E37">
        <w:rPr>
          <w:rFonts w:ascii="Times New Roman" w:hAnsi="Times New Roman" w:cs="Times New Roman"/>
          <w:sz w:val="24"/>
          <w:szCs w:val="24"/>
          <w:shd w:val="clear" w:color="auto" w:fill="FFFFFF"/>
        </w:rPr>
        <w:t>)</w:t>
      </w:r>
      <w:r w:rsidRPr="004A6E37">
        <w:rPr>
          <w:rFonts w:ascii="Times New Roman" w:hAnsi="Times New Roman" w:cs="Times New Roman"/>
          <w:sz w:val="24"/>
          <w:szCs w:val="24"/>
          <w:shd w:val="clear" w:color="auto" w:fill="FFFFFF"/>
        </w:rPr>
        <w:t xml:space="preserve"> et du</w:t>
      </w:r>
      <w:r w:rsidR="00D17DB2" w:rsidRPr="004A6E37">
        <w:rPr>
          <w:rFonts w:ascii="Times New Roman" w:hAnsi="Times New Roman" w:cs="Times New Roman"/>
          <w:sz w:val="24"/>
          <w:szCs w:val="24"/>
          <w:shd w:val="clear" w:color="auto" w:fill="FFFFFF"/>
        </w:rPr>
        <w:t xml:space="preserve"> regroupement des Cellules de Renseignements Financiers de l’espace UEMOA (</w:t>
      </w:r>
      <w:r w:rsidRPr="004A6E37">
        <w:rPr>
          <w:rFonts w:ascii="Times New Roman" w:hAnsi="Times New Roman" w:cs="Times New Roman"/>
          <w:sz w:val="24"/>
          <w:szCs w:val="24"/>
          <w:shd w:val="clear" w:color="auto" w:fill="FFFFFF"/>
        </w:rPr>
        <w:t>RECEN-UEMOA</w:t>
      </w:r>
      <w:r w:rsidR="00D17DB2" w:rsidRPr="004A6E37">
        <w:rPr>
          <w:rFonts w:ascii="Times New Roman" w:hAnsi="Times New Roman" w:cs="Times New Roman"/>
          <w:sz w:val="24"/>
          <w:szCs w:val="24"/>
          <w:shd w:val="clear" w:color="auto" w:fill="FFFFFF"/>
        </w:rPr>
        <w:t>)</w:t>
      </w:r>
      <w:r w:rsidRPr="004A6E37">
        <w:rPr>
          <w:rFonts w:ascii="Times New Roman" w:hAnsi="Times New Roman" w:cs="Times New Roman"/>
          <w:sz w:val="24"/>
          <w:szCs w:val="24"/>
          <w:shd w:val="clear" w:color="auto" w:fill="FFFFFF"/>
        </w:rPr>
        <w:t xml:space="preserve">, elle est aussi membre du groupe EGMONT, un </w:t>
      </w:r>
      <w:r w:rsidR="00FD31FD" w:rsidRPr="004A6E37">
        <w:rPr>
          <w:rFonts w:ascii="Times New Roman" w:hAnsi="Times New Roman" w:cs="Times New Roman"/>
          <w:sz w:val="24"/>
          <w:szCs w:val="24"/>
          <w:shd w:val="clear" w:color="auto" w:fill="FFFFFF"/>
        </w:rPr>
        <w:t>réseau</w:t>
      </w:r>
      <w:r w:rsidRPr="004A6E37">
        <w:rPr>
          <w:rFonts w:ascii="Times New Roman" w:hAnsi="Times New Roman" w:cs="Times New Roman"/>
          <w:sz w:val="24"/>
          <w:szCs w:val="24"/>
          <w:shd w:val="clear" w:color="auto" w:fill="FFFFFF"/>
        </w:rPr>
        <w:t xml:space="preserve"> international des</w:t>
      </w:r>
      <w:r w:rsidR="00FD31FD" w:rsidRPr="004A6E37">
        <w:rPr>
          <w:rFonts w:ascii="Times New Roman" w:hAnsi="Times New Roman" w:cs="Times New Roman"/>
          <w:sz w:val="24"/>
          <w:szCs w:val="24"/>
          <w:shd w:val="clear" w:color="auto" w:fill="FFFFFF"/>
        </w:rPr>
        <w:t xml:space="preserve"> </w:t>
      </w:r>
      <w:r w:rsidRPr="004A6E37">
        <w:rPr>
          <w:rFonts w:ascii="Times New Roman" w:hAnsi="Times New Roman" w:cs="Times New Roman"/>
          <w:sz w:val="24"/>
          <w:szCs w:val="24"/>
          <w:shd w:val="clear" w:color="auto" w:fill="FFFFFF"/>
        </w:rPr>
        <w:t>Cellules de Renseignement</w:t>
      </w:r>
      <w:r w:rsidR="00FE052F" w:rsidRPr="004A6E37">
        <w:rPr>
          <w:rFonts w:ascii="Times New Roman" w:hAnsi="Times New Roman" w:cs="Times New Roman"/>
          <w:sz w:val="24"/>
          <w:szCs w:val="24"/>
          <w:shd w:val="clear" w:color="auto" w:fill="FFFFFF"/>
        </w:rPr>
        <w:t>s</w:t>
      </w:r>
      <w:r w:rsidRPr="004A6E37">
        <w:rPr>
          <w:rFonts w:ascii="Times New Roman" w:hAnsi="Times New Roman" w:cs="Times New Roman"/>
          <w:sz w:val="24"/>
          <w:szCs w:val="24"/>
          <w:shd w:val="clear" w:color="auto" w:fill="FFFFFF"/>
        </w:rPr>
        <w:t xml:space="preserve"> Financiers (CRF), crée en vue de développer la coopération internationale par l’échange d’information</w:t>
      </w:r>
      <w:r w:rsidR="003D48D2" w:rsidRPr="004A6E37">
        <w:rPr>
          <w:rFonts w:ascii="Times New Roman" w:hAnsi="Times New Roman" w:cs="Times New Roman"/>
          <w:sz w:val="24"/>
          <w:szCs w:val="24"/>
          <w:shd w:val="clear" w:color="auto" w:fill="FFFFFF"/>
        </w:rPr>
        <w:t xml:space="preserve">. </w:t>
      </w:r>
    </w:p>
    <w:p w14:paraId="1EC3D420" w14:textId="77777777" w:rsidR="009B7F30" w:rsidRPr="004A6E37" w:rsidRDefault="003D48D2">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C</w:t>
      </w:r>
      <w:r w:rsidR="002E2BE8" w:rsidRPr="004A6E37">
        <w:rPr>
          <w:rFonts w:ascii="Times New Roman" w:hAnsi="Times New Roman" w:cs="Times New Roman"/>
          <w:sz w:val="24"/>
          <w:szCs w:val="24"/>
          <w:shd w:val="clear" w:color="auto" w:fill="FFFFFF"/>
        </w:rPr>
        <w:t xml:space="preserve">onformément à la </w:t>
      </w:r>
      <w:r w:rsidR="00FD31FD" w:rsidRPr="004A6E37">
        <w:rPr>
          <w:rFonts w:ascii="Times New Roman" w:hAnsi="Times New Roman" w:cs="Times New Roman"/>
          <w:sz w:val="24"/>
          <w:szCs w:val="24"/>
          <w:shd w:val="clear" w:color="auto" w:fill="FFFFFF"/>
        </w:rPr>
        <w:t>recommandation</w:t>
      </w:r>
      <w:r w:rsidR="002E2BE8" w:rsidRPr="004A6E37">
        <w:rPr>
          <w:rFonts w:ascii="Times New Roman" w:hAnsi="Times New Roman" w:cs="Times New Roman"/>
          <w:sz w:val="24"/>
          <w:szCs w:val="24"/>
          <w:shd w:val="clear" w:color="auto" w:fill="FFFFFF"/>
        </w:rPr>
        <w:t xml:space="preserve"> 1</w:t>
      </w:r>
      <w:r w:rsidR="003676B0" w:rsidRPr="004A6E37">
        <w:rPr>
          <w:rStyle w:val="Appelnotedebasdep"/>
          <w:rFonts w:ascii="Times New Roman" w:hAnsi="Times New Roman" w:cs="Times New Roman"/>
          <w:sz w:val="24"/>
          <w:szCs w:val="24"/>
          <w:shd w:val="clear" w:color="auto" w:fill="FFFFFF"/>
        </w:rPr>
        <w:t xml:space="preserve"> </w:t>
      </w:r>
      <w:r w:rsidR="002E2BE8" w:rsidRPr="004A6E37">
        <w:rPr>
          <w:rFonts w:ascii="Times New Roman" w:hAnsi="Times New Roman" w:cs="Times New Roman"/>
          <w:sz w:val="24"/>
          <w:szCs w:val="24"/>
          <w:shd w:val="clear" w:color="auto" w:fill="FFFFFF"/>
        </w:rPr>
        <w:t>du Groupe d’Action Financière (GAFI) et à l’article 10</w:t>
      </w:r>
      <w:r w:rsidR="00E10287" w:rsidRPr="004A6E37">
        <w:rPr>
          <w:rFonts w:ascii="Times New Roman" w:hAnsi="Times New Roman" w:cs="Times New Roman"/>
          <w:sz w:val="24"/>
          <w:szCs w:val="24"/>
          <w:shd w:val="clear" w:color="auto" w:fill="FFFFFF"/>
        </w:rPr>
        <w:t xml:space="preserve"> </w:t>
      </w:r>
      <w:r w:rsidR="002E2BE8" w:rsidRPr="004A6E37">
        <w:rPr>
          <w:rFonts w:ascii="Times New Roman" w:hAnsi="Times New Roman" w:cs="Times New Roman"/>
          <w:sz w:val="24"/>
          <w:szCs w:val="24"/>
          <w:shd w:val="clear" w:color="auto" w:fill="FFFFFF"/>
        </w:rPr>
        <w:t xml:space="preserve">de la Loi n° 2016-008 du 17 mars 2016 portant loi uniforme relative à la lutte contre le blanchiment </w:t>
      </w:r>
      <w:r w:rsidR="002E2BE8" w:rsidRPr="004A6E37">
        <w:rPr>
          <w:rFonts w:ascii="Times New Roman" w:hAnsi="Times New Roman" w:cs="Times New Roman"/>
          <w:sz w:val="24"/>
          <w:szCs w:val="24"/>
          <w:shd w:val="clear" w:color="auto" w:fill="FFFFFF"/>
        </w:rPr>
        <w:lastRenderedPageBreak/>
        <w:t>de capitaux et le financement du terrorisme et en conformité avec ses missions, la CENFIF a été désignée pour coordonner et conduire l’Evaluation Nationale des Risques (ENR).</w:t>
      </w:r>
    </w:p>
    <w:p w14:paraId="59AD95C2" w14:textId="77777777" w:rsidR="009B7F30" w:rsidRPr="004A6E37" w:rsidRDefault="002E2BE8">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Cette activité qui consiste en une a</w:t>
      </w:r>
      <w:r w:rsidR="00A61561" w:rsidRPr="004A6E37">
        <w:rPr>
          <w:rFonts w:ascii="Times New Roman" w:hAnsi="Times New Roman" w:cs="Times New Roman"/>
          <w:sz w:val="24"/>
          <w:szCs w:val="24"/>
          <w:shd w:val="clear" w:color="auto" w:fill="FFFFFF"/>
        </w:rPr>
        <w:t>uto-évaluation a permis au Mali</w:t>
      </w:r>
      <w:r w:rsidRPr="004A6E37">
        <w:rPr>
          <w:rFonts w:ascii="Times New Roman" w:hAnsi="Times New Roman" w:cs="Times New Roman"/>
          <w:sz w:val="24"/>
          <w:szCs w:val="24"/>
          <w:shd w:val="clear" w:color="auto" w:fill="FFFFFF"/>
        </w:rPr>
        <w:t xml:space="preserve"> d’analyser et d’évaluer les menaces et les vulnérabilités de BC/FT</w:t>
      </w:r>
      <w:r w:rsidR="00361F6D" w:rsidRPr="004A6E37">
        <w:rPr>
          <w:rFonts w:ascii="Times New Roman" w:hAnsi="Times New Roman" w:cs="Times New Roman"/>
          <w:sz w:val="24"/>
          <w:szCs w:val="24"/>
          <w:shd w:val="clear" w:color="auto" w:fill="FFFFFF"/>
        </w:rPr>
        <w:t>/FP</w:t>
      </w:r>
      <w:r w:rsidRPr="004A6E37">
        <w:rPr>
          <w:rFonts w:ascii="Times New Roman" w:hAnsi="Times New Roman" w:cs="Times New Roman"/>
          <w:sz w:val="24"/>
          <w:szCs w:val="24"/>
          <w:shd w:val="clear" w:color="auto" w:fill="FFFFFF"/>
        </w:rPr>
        <w:t xml:space="preserve"> tant au niveau natio</w:t>
      </w:r>
      <w:r w:rsidR="00530B0C" w:rsidRPr="004A6E37">
        <w:rPr>
          <w:rFonts w:ascii="Times New Roman" w:hAnsi="Times New Roman" w:cs="Times New Roman"/>
          <w:sz w:val="24"/>
          <w:szCs w:val="24"/>
          <w:shd w:val="clear" w:color="auto" w:fill="FFFFFF"/>
        </w:rPr>
        <w:t>nal</w:t>
      </w:r>
      <w:r w:rsidR="00FD31FD" w:rsidRPr="004A6E37">
        <w:rPr>
          <w:rFonts w:ascii="Times New Roman" w:hAnsi="Times New Roman" w:cs="Times New Roman"/>
          <w:sz w:val="24"/>
          <w:szCs w:val="24"/>
          <w:shd w:val="clear" w:color="auto" w:fill="FFFFFF"/>
        </w:rPr>
        <w:t xml:space="preserve"> </w:t>
      </w:r>
      <w:r w:rsidR="00A61561" w:rsidRPr="004A6E37">
        <w:rPr>
          <w:rFonts w:ascii="Times New Roman" w:hAnsi="Times New Roman" w:cs="Times New Roman"/>
          <w:sz w:val="24"/>
          <w:szCs w:val="24"/>
          <w:shd w:val="clear" w:color="auto" w:fill="FFFFFF"/>
        </w:rPr>
        <w:t xml:space="preserve">que </w:t>
      </w:r>
      <w:r w:rsidR="00FD31FD" w:rsidRPr="004A6E37">
        <w:rPr>
          <w:rFonts w:ascii="Times New Roman" w:hAnsi="Times New Roman" w:cs="Times New Roman"/>
          <w:sz w:val="24"/>
          <w:szCs w:val="24"/>
          <w:shd w:val="clear" w:color="auto" w:fill="FFFFFF"/>
        </w:rPr>
        <w:t>sectoriel</w:t>
      </w:r>
      <w:r w:rsidRPr="004A6E37">
        <w:rPr>
          <w:rFonts w:ascii="Times New Roman" w:hAnsi="Times New Roman" w:cs="Times New Roman"/>
          <w:sz w:val="24"/>
          <w:szCs w:val="24"/>
          <w:shd w:val="clear" w:color="auto" w:fill="FFFFFF"/>
        </w:rPr>
        <w:t>.</w:t>
      </w:r>
    </w:p>
    <w:p w14:paraId="73570DEA" w14:textId="77777777" w:rsidR="00A134C6" w:rsidRPr="004A6E37" w:rsidRDefault="009D4B33" w:rsidP="00A134C6">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shd w:val="clear" w:color="auto" w:fill="FFFFFF"/>
        </w:rPr>
        <w:t>Outre</w:t>
      </w:r>
      <w:r w:rsidR="002E2BE8" w:rsidRPr="004A6E37">
        <w:rPr>
          <w:rFonts w:ascii="Times New Roman" w:hAnsi="Times New Roman" w:cs="Times New Roman"/>
          <w:sz w:val="24"/>
          <w:szCs w:val="24"/>
          <w:shd w:val="clear" w:color="auto" w:fill="FFFFFF"/>
        </w:rPr>
        <w:t xml:space="preserve"> l’ENR, le Mali s</w:t>
      </w:r>
      <w:r w:rsidR="002D6BDA" w:rsidRPr="004A6E37">
        <w:rPr>
          <w:rFonts w:ascii="Times New Roman" w:hAnsi="Times New Roman" w:cs="Times New Roman"/>
          <w:sz w:val="24"/>
          <w:szCs w:val="24"/>
          <w:shd w:val="clear" w:color="auto" w:fill="FFFFFF"/>
        </w:rPr>
        <w:t>’est souverainement soumis</w:t>
      </w:r>
      <w:r w:rsidR="00FD31FD" w:rsidRPr="004A6E37">
        <w:rPr>
          <w:rFonts w:ascii="Times New Roman" w:hAnsi="Times New Roman" w:cs="Times New Roman"/>
          <w:sz w:val="24"/>
          <w:szCs w:val="24"/>
          <w:shd w:val="clear" w:color="auto" w:fill="FFFFFF"/>
        </w:rPr>
        <w:t xml:space="preserve"> en 2018,</w:t>
      </w:r>
      <w:r w:rsidR="002D6BDA" w:rsidRPr="004A6E37">
        <w:rPr>
          <w:rFonts w:ascii="Times New Roman" w:hAnsi="Times New Roman" w:cs="Times New Roman"/>
          <w:sz w:val="24"/>
          <w:szCs w:val="24"/>
          <w:shd w:val="clear" w:color="auto" w:fill="FFFFFF"/>
        </w:rPr>
        <w:t xml:space="preserve"> à l’E</w:t>
      </w:r>
      <w:r w:rsidR="002E2BE8" w:rsidRPr="004A6E37">
        <w:rPr>
          <w:rFonts w:ascii="Times New Roman" w:hAnsi="Times New Roman" w:cs="Times New Roman"/>
          <w:sz w:val="24"/>
          <w:szCs w:val="24"/>
          <w:shd w:val="clear" w:color="auto" w:fill="FFFFFF"/>
        </w:rPr>
        <w:t>valuation</w:t>
      </w:r>
      <w:r w:rsidR="001546C6" w:rsidRPr="004A6E37">
        <w:rPr>
          <w:rFonts w:ascii="Times New Roman" w:hAnsi="Times New Roman" w:cs="Times New Roman"/>
          <w:sz w:val="24"/>
          <w:szCs w:val="24"/>
          <w:shd w:val="clear" w:color="auto" w:fill="FFFFFF"/>
        </w:rPr>
        <w:t xml:space="preserve"> Mutuelle (</w:t>
      </w:r>
      <w:r w:rsidR="002E2BE8" w:rsidRPr="004A6E37">
        <w:rPr>
          <w:rFonts w:ascii="Times New Roman" w:hAnsi="Times New Roman" w:cs="Times New Roman"/>
          <w:sz w:val="24"/>
          <w:szCs w:val="24"/>
          <w:shd w:val="clear" w:color="auto" w:fill="FFFFFF"/>
        </w:rPr>
        <w:t>EM) de son dispositif anti-blanchiment</w:t>
      </w:r>
      <w:r w:rsidR="00707A72" w:rsidRPr="004A6E37">
        <w:rPr>
          <w:rFonts w:ascii="Times New Roman" w:hAnsi="Times New Roman" w:cs="Times New Roman"/>
          <w:sz w:val="24"/>
          <w:szCs w:val="24"/>
          <w:shd w:val="clear" w:color="auto" w:fill="FFFFFF"/>
        </w:rPr>
        <w:t xml:space="preserve"> par ses pair</w:t>
      </w:r>
      <w:r w:rsidR="00FD31FD" w:rsidRPr="004A6E37">
        <w:rPr>
          <w:rFonts w:ascii="Times New Roman" w:hAnsi="Times New Roman" w:cs="Times New Roman"/>
          <w:sz w:val="24"/>
          <w:szCs w:val="24"/>
          <w:shd w:val="clear" w:color="auto" w:fill="FFFFFF"/>
        </w:rPr>
        <w:t>s</w:t>
      </w:r>
      <w:r w:rsidR="002E2BE8" w:rsidRPr="004A6E37">
        <w:rPr>
          <w:rFonts w:ascii="Times New Roman" w:hAnsi="Times New Roman" w:cs="Times New Roman"/>
          <w:sz w:val="24"/>
          <w:szCs w:val="24"/>
          <w:shd w:val="clear" w:color="auto" w:fill="FFFFFF"/>
        </w:rPr>
        <w:t xml:space="preserve">. Ce second cycle d’évaluation effectuée après celle de 2008, avait pour but de recenser aussi bien les progrès accomplis par le pays que les lacunes relevées dans la mise en œuvre effective des quarante (40) recommandations du GAFI. </w:t>
      </w:r>
      <w:r w:rsidR="00B622EC" w:rsidRPr="004A6E37">
        <w:rPr>
          <w:rFonts w:ascii="Times New Roman" w:hAnsi="Times New Roman" w:cs="Times New Roman"/>
          <w:sz w:val="24"/>
          <w:szCs w:val="24"/>
          <w:shd w:val="clear" w:color="auto" w:fill="FFFFFF"/>
        </w:rPr>
        <w:t>Le</w:t>
      </w:r>
      <w:r w:rsidR="002E2BE8" w:rsidRPr="004A6E37">
        <w:rPr>
          <w:rFonts w:ascii="Times New Roman" w:hAnsi="Times New Roman" w:cs="Times New Roman"/>
          <w:sz w:val="24"/>
          <w:szCs w:val="24"/>
          <w:shd w:val="clear" w:color="auto" w:fill="FFFFFF"/>
        </w:rPr>
        <w:t xml:space="preserve"> Rapp</w:t>
      </w:r>
      <w:r w:rsidR="00B622EC" w:rsidRPr="004A6E37">
        <w:rPr>
          <w:rFonts w:ascii="Times New Roman" w:hAnsi="Times New Roman" w:cs="Times New Roman"/>
          <w:sz w:val="24"/>
          <w:szCs w:val="24"/>
          <w:shd w:val="clear" w:color="auto" w:fill="FFFFFF"/>
        </w:rPr>
        <w:t>ort d’Evaluation Mutuelle (REM) a été</w:t>
      </w:r>
      <w:r w:rsidR="002E2BE8" w:rsidRPr="004A6E37">
        <w:rPr>
          <w:rFonts w:ascii="Times New Roman" w:hAnsi="Times New Roman" w:cs="Times New Roman"/>
          <w:sz w:val="24"/>
          <w:szCs w:val="24"/>
          <w:shd w:val="clear" w:color="auto" w:fill="FFFFFF"/>
        </w:rPr>
        <w:t xml:space="preserve"> adopté lors de la plénière du </w:t>
      </w:r>
      <w:r w:rsidR="00980FAC" w:rsidRPr="004A6E37">
        <w:rPr>
          <w:rFonts w:ascii="Times New Roman" w:hAnsi="Times New Roman" w:cs="Times New Roman"/>
          <w:sz w:val="24"/>
          <w:szCs w:val="24"/>
          <w:shd w:val="clear" w:color="auto" w:fill="FFFFFF"/>
        </w:rPr>
        <w:t>Groupe Inter gouvernemental d’Action de lutte contre le blanchiment d’argent en Afrique de l’Ouest (</w:t>
      </w:r>
      <w:r w:rsidR="002E2BE8" w:rsidRPr="004A6E37">
        <w:rPr>
          <w:rFonts w:ascii="Times New Roman" w:hAnsi="Times New Roman" w:cs="Times New Roman"/>
          <w:sz w:val="24"/>
          <w:szCs w:val="24"/>
          <w:shd w:val="clear" w:color="auto" w:fill="FFFFFF"/>
        </w:rPr>
        <w:t>GIABA</w:t>
      </w:r>
      <w:r w:rsidR="00980FAC" w:rsidRPr="004A6E37">
        <w:rPr>
          <w:rFonts w:ascii="Times New Roman" w:hAnsi="Times New Roman" w:cs="Times New Roman"/>
          <w:sz w:val="24"/>
          <w:szCs w:val="24"/>
          <w:shd w:val="clear" w:color="auto" w:fill="FFFFFF"/>
        </w:rPr>
        <w:t>)</w:t>
      </w:r>
      <w:r w:rsidR="002E2BE8" w:rsidRPr="004A6E37">
        <w:rPr>
          <w:rFonts w:ascii="Times New Roman" w:hAnsi="Times New Roman" w:cs="Times New Roman"/>
          <w:sz w:val="24"/>
          <w:szCs w:val="24"/>
          <w:shd w:val="clear" w:color="auto" w:fill="FFFFFF"/>
        </w:rPr>
        <w:t xml:space="preserve"> en novembre 2019 à Dakar</w:t>
      </w:r>
      <w:r w:rsidR="00B622EC" w:rsidRPr="004A6E37">
        <w:rPr>
          <w:rFonts w:ascii="Times New Roman" w:hAnsi="Times New Roman" w:cs="Times New Roman"/>
          <w:sz w:val="24"/>
          <w:szCs w:val="24"/>
          <w:shd w:val="clear" w:color="auto" w:fill="FFFFFF"/>
        </w:rPr>
        <w:t>.</w:t>
      </w:r>
      <w:r w:rsidR="002E2BE8" w:rsidRPr="004A6E37">
        <w:rPr>
          <w:rFonts w:ascii="Times New Roman" w:hAnsi="Times New Roman" w:cs="Times New Roman"/>
          <w:sz w:val="24"/>
          <w:szCs w:val="24"/>
          <w:shd w:val="clear" w:color="auto" w:fill="FFFFFF"/>
        </w:rPr>
        <w:t xml:space="preserve"> </w:t>
      </w:r>
      <w:r w:rsidR="00A134C6" w:rsidRPr="004A6E37">
        <w:rPr>
          <w:rFonts w:ascii="Times New Roman" w:hAnsi="Times New Roman" w:cs="Times New Roman"/>
          <w:sz w:val="24"/>
          <w:szCs w:val="24"/>
        </w:rPr>
        <w:t xml:space="preserve">Le rapport de l’ENR n’a pas fourni d’indication sur le niveau de vulnérabilité et de risque des personnes morales et </w:t>
      </w:r>
      <w:r w:rsidR="004931AC" w:rsidRPr="004A6E37">
        <w:rPr>
          <w:rFonts w:ascii="Times New Roman" w:hAnsi="Times New Roman" w:cs="Times New Roman"/>
          <w:sz w:val="24"/>
          <w:szCs w:val="24"/>
        </w:rPr>
        <w:t xml:space="preserve">autres </w:t>
      </w:r>
      <w:r w:rsidR="00A134C6" w:rsidRPr="004A6E37">
        <w:rPr>
          <w:rFonts w:ascii="Times New Roman" w:hAnsi="Times New Roman" w:cs="Times New Roman"/>
          <w:sz w:val="24"/>
          <w:szCs w:val="24"/>
        </w:rPr>
        <w:t xml:space="preserve">constructions juridiques opérant au Mali en matière </w:t>
      </w:r>
      <w:r w:rsidR="00D21C0A" w:rsidRPr="004A6E37">
        <w:rPr>
          <w:rFonts w:ascii="Times New Roman" w:hAnsi="Times New Roman" w:cs="Times New Roman"/>
          <w:sz w:val="24"/>
          <w:szCs w:val="24"/>
        </w:rPr>
        <w:t xml:space="preserve">de </w:t>
      </w:r>
      <w:r w:rsidR="00A134C6" w:rsidRPr="004A6E37">
        <w:rPr>
          <w:rFonts w:ascii="Times New Roman" w:hAnsi="Times New Roman" w:cs="Times New Roman"/>
          <w:sz w:val="24"/>
          <w:szCs w:val="24"/>
        </w:rPr>
        <w:t>LBC/FT.</w:t>
      </w:r>
    </w:p>
    <w:p w14:paraId="6DBDAD10" w14:textId="77777777" w:rsidR="009B7F30" w:rsidRPr="004A6E37" w:rsidRDefault="00B622EC">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Cette évaluation a</w:t>
      </w:r>
      <w:r w:rsidR="002E2BE8" w:rsidRPr="004A6E37">
        <w:rPr>
          <w:rFonts w:ascii="Times New Roman" w:hAnsi="Times New Roman" w:cs="Times New Roman"/>
          <w:sz w:val="24"/>
          <w:szCs w:val="24"/>
          <w:shd w:val="clear" w:color="auto" w:fill="FFFFFF"/>
        </w:rPr>
        <w:t xml:space="preserve"> relevé des faiblesses pouvant constituer un obstacle à l’atteinte des résultats en matière de LBC/FT. Pour corriger ces insuffisances, des recommandations ont é</w:t>
      </w:r>
      <w:r w:rsidR="00082085" w:rsidRPr="004A6E37">
        <w:rPr>
          <w:rFonts w:ascii="Times New Roman" w:hAnsi="Times New Roman" w:cs="Times New Roman"/>
          <w:sz w:val="24"/>
          <w:szCs w:val="24"/>
          <w:shd w:val="clear" w:color="auto" w:fill="FFFFFF"/>
        </w:rPr>
        <w:t>té formulées tant au niveau nation</w:t>
      </w:r>
      <w:r w:rsidR="002E2BE8" w:rsidRPr="004A6E37">
        <w:rPr>
          <w:rFonts w:ascii="Times New Roman" w:hAnsi="Times New Roman" w:cs="Times New Roman"/>
          <w:sz w:val="24"/>
          <w:szCs w:val="24"/>
          <w:shd w:val="clear" w:color="auto" w:fill="FFFFFF"/>
        </w:rPr>
        <w:t xml:space="preserve">al que sectoriel. </w:t>
      </w:r>
      <w:r w:rsidR="00814293" w:rsidRPr="004A6E37">
        <w:rPr>
          <w:rFonts w:ascii="Times New Roman" w:hAnsi="Times New Roman" w:cs="Times New Roman"/>
          <w:sz w:val="24"/>
          <w:szCs w:val="24"/>
          <w:shd w:val="clear" w:color="auto" w:fill="FFFFFF"/>
        </w:rPr>
        <w:t xml:space="preserve">Des </w:t>
      </w:r>
      <w:r w:rsidR="00D360FE" w:rsidRPr="004A6E37">
        <w:rPr>
          <w:rFonts w:ascii="Times New Roman" w:hAnsi="Times New Roman" w:cs="Times New Roman"/>
          <w:sz w:val="24"/>
          <w:szCs w:val="24"/>
          <w:shd w:val="clear" w:color="auto" w:fill="FFFFFF"/>
        </w:rPr>
        <w:t>plan</w:t>
      </w:r>
      <w:r w:rsidR="00814293" w:rsidRPr="004A6E37">
        <w:rPr>
          <w:rFonts w:ascii="Times New Roman" w:hAnsi="Times New Roman" w:cs="Times New Roman"/>
          <w:sz w:val="24"/>
          <w:szCs w:val="24"/>
          <w:shd w:val="clear" w:color="auto" w:fill="FFFFFF"/>
        </w:rPr>
        <w:t>s</w:t>
      </w:r>
      <w:r w:rsidR="00D360FE" w:rsidRPr="004A6E37">
        <w:rPr>
          <w:rFonts w:ascii="Times New Roman" w:hAnsi="Times New Roman" w:cs="Times New Roman"/>
          <w:sz w:val="24"/>
          <w:szCs w:val="24"/>
          <w:shd w:val="clear" w:color="auto" w:fill="FFFFFF"/>
        </w:rPr>
        <w:t xml:space="preserve"> </w:t>
      </w:r>
      <w:r w:rsidR="002E2BE8" w:rsidRPr="004A6E37">
        <w:rPr>
          <w:rFonts w:ascii="Times New Roman" w:hAnsi="Times New Roman" w:cs="Times New Roman"/>
          <w:sz w:val="24"/>
          <w:szCs w:val="24"/>
          <w:shd w:val="clear" w:color="auto" w:fill="FFFFFF"/>
        </w:rPr>
        <w:t>d’action</w:t>
      </w:r>
      <w:r w:rsidR="00D360FE" w:rsidRPr="004A6E37">
        <w:rPr>
          <w:rFonts w:ascii="Times New Roman" w:hAnsi="Times New Roman" w:cs="Times New Roman"/>
          <w:sz w:val="24"/>
          <w:szCs w:val="24"/>
          <w:shd w:val="clear" w:color="auto" w:fill="FFFFFF"/>
        </w:rPr>
        <w:t>s</w:t>
      </w:r>
      <w:r w:rsidR="00AE7D3C" w:rsidRPr="004A6E37">
        <w:rPr>
          <w:rFonts w:ascii="Times New Roman" w:hAnsi="Times New Roman" w:cs="Times New Roman"/>
          <w:sz w:val="24"/>
          <w:szCs w:val="24"/>
          <w:shd w:val="clear" w:color="auto" w:fill="FFFFFF"/>
        </w:rPr>
        <w:t xml:space="preserve"> assorti</w:t>
      </w:r>
      <w:r w:rsidR="00814293" w:rsidRPr="004A6E37">
        <w:rPr>
          <w:rFonts w:ascii="Times New Roman" w:hAnsi="Times New Roman" w:cs="Times New Roman"/>
          <w:sz w:val="24"/>
          <w:szCs w:val="24"/>
          <w:shd w:val="clear" w:color="auto" w:fill="FFFFFF"/>
        </w:rPr>
        <w:t>s</w:t>
      </w:r>
      <w:r w:rsidR="002E2BE8" w:rsidRPr="004A6E37">
        <w:rPr>
          <w:rFonts w:ascii="Times New Roman" w:hAnsi="Times New Roman" w:cs="Times New Roman"/>
          <w:sz w:val="24"/>
          <w:szCs w:val="24"/>
          <w:shd w:val="clear" w:color="auto" w:fill="FFFFFF"/>
        </w:rPr>
        <w:t xml:space="preserve"> de l’ENR et de l’EM</w:t>
      </w:r>
      <w:r w:rsidR="00D360FE" w:rsidRPr="004A6E37">
        <w:rPr>
          <w:rFonts w:ascii="Times New Roman" w:hAnsi="Times New Roman" w:cs="Times New Roman"/>
          <w:sz w:val="24"/>
          <w:szCs w:val="24"/>
          <w:shd w:val="clear" w:color="auto" w:fill="FFFFFF"/>
        </w:rPr>
        <w:t xml:space="preserve"> pour la mise en œuvre</w:t>
      </w:r>
      <w:r w:rsidR="002D42A2" w:rsidRPr="004A6E37">
        <w:rPr>
          <w:rFonts w:ascii="Times New Roman" w:hAnsi="Times New Roman" w:cs="Times New Roman"/>
          <w:sz w:val="24"/>
          <w:szCs w:val="24"/>
          <w:shd w:val="clear" w:color="auto" w:fill="FFFFFF"/>
        </w:rPr>
        <w:t xml:space="preserve"> des activités ont été consigné</w:t>
      </w:r>
      <w:r w:rsidR="00D360FE" w:rsidRPr="004A6E37">
        <w:rPr>
          <w:rFonts w:ascii="Times New Roman" w:hAnsi="Times New Roman" w:cs="Times New Roman"/>
          <w:sz w:val="24"/>
          <w:szCs w:val="24"/>
          <w:shd w:val="clear" w:color="auto" w:fill="FFFFFF"/>
        </w:rPr>
        <w:t>s selon un ordre prioritaire</w:t>
      </w:r>
      <w:r w:rsidR="002E2BE8" w:rsidRPr="004A6E37">
        <w:rPr>
          <w:rFonts w:ascii="Times New Roman" w:hAnsi="Times New Roman" w:cs="Times New Roman"/>
          <w:sz w:val="24"/>
          <w:szCs w:val="24"/>
          <w:shd w:val="clear" w:color="auto" w:fill="FFFFFF"/>
        </w:rPr>
        <w:t>.</w:t>
      </w:r>
    </w:p>
    <w:p w14:paraId="20A51DC0" w14:textId="77777777" w:rsidR="00047352" w:rsidRPr="004A6E37" w:rsidRDefault="002E2BE8">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shd w:val="clear" w:color="auto" w:fill="FFFFFF"/>
        </w:rPr>
        <w:t>Aussi, le REM a recommandé une évaluation complète des risques de BC/FT auxquels sont exposés les personnes morales</w:t>
      </w:r>
      <w:r w:rsidR="005F5C66" w:rsidRPr="004A6E37">
        <w:rPr>
          <w:rFonts w:ascii="Times New Roman" w:hAnsi="Times New Roman" w:cs="Times New Roman"/>
          <w:sz w:val="24"/>
          <w:szCs w:val="24"/>
          <w:shd w:val="clear" w:color="auto" w:fill="FFFFFF"/>
        </w:rPr>
        <w:t xml:space="preserve"> et autres constructions juridiques</w:t>
      </w:r>
      <w:r w:rsidRPr="004A6E37">
        <w:rPr>
          <w:rFonts w:ascii="Times New Roman" w:hAnsi="Times New Roman" w:cs="Times New Roman"/>
          <w:sz w:val="24"/>
          <w:szCs w:val="24"/>
          <w:shd w:val="clear" w:color="auto" w:fill="FFFFFF"/>
        </w:rPr>
        <w:t xml:space="preserve"> établies dans le pays et la prise de mesures pour atténuer ces risques. </w:t>
      </w:r>
      <w:r w:rsidR="00047352" w:rsidRPr="004A6E37">
        <w:rPr>
          <w:rFonts w:ascii="Times New Roman" w:hAnsi="Times New Roman" w:cs="Times New Roman"/>
          <w:sz w:val="24"/>
          <w:szCs w:val="24"/>
          <w:shd w:val="clear" w:color="auto" w:fill="FFFFFF"/>
        </w:rPr>
        <w:t>Le pays a souscrit par un engagement de haut niveau pour la mise en œuvre du</w:t>
      </w:r>
      <w:r w:rsidRPr="004A6E37">
        <w:rPr>
          <w:rFonts w:ascii="Times New Roman" w:hAnsi="Times New Roman" w:cs="Times New Roman"/>
          <w:sz w:val="24"/>
          <w:szCs w:val="24"/>
          <w:shd w:val="clear" w:color="auto" w:fill="FFFFFF"/>
        </w:rPr>
        <w:t xml:space="preserve"> plan d’action</w:t>
      </w:r>
      <w:r w:rsidR="00047352" w:rsidRPr="004A6E37">
        <w:rPr>
          <w:rFonts w:ascii="Times New Roman" w:hAnsi="Times New Roman" w:cs="Times New Roman"/>
          <w:sz w:val="24"/>
          <w:szCs w:val="24"/>
          <w:shd w:val="clear" w:color="auto" w:fill="FFFFFF"/>
        </w:rPr>
        <w:t>s</w:t>
      </w:r>
      <w:r w:rsidRPr="004A6E37">
        <w:rPr>
          <w:rFonts w:ascii="Times New Roman" w:hAnsi="Times New Roman" w:cs="Times New Roman"/>
          <w:sz w:val="24"/>
          <w:szCs w:val="24"/>
          <w:shd w:val="clear" w:color="auto" w:fill="FFFFFF"/>
        </w:rPr>
        <w:t xml:space="preserve"> </w:t>
      </w:r>
      <w:r w:rsidR="004B68E2" w:rsidRPr="004A6E37">
        <w:rPr>
          <w:rFonts w:ascii="Times New Roman" w:hAnsi="Times New Roman" w:cs="Times New Roman"/>
          <w:sz w:val="24"/>
          <w:szCs w:val="24"/>
          <w:shd w:val="clear" w:color="auto" w:fill="FFFFFF"/>
        </w:rPr>
        <w:t xml:space="preserve">du </w:t>
      </w:r>
      <w:r w:rsidR="004B68E2" w:rsidRPr="004A6E37">
        <w:rPr>
          <w:rFonts w:ascii="Times New Roman" w:hAnsi="Times New Roman" w:cs="Times New Roman"/>
          <w:sz w:val="24"/>
          <w:szCs w:val="24"/>
        </w:rPr>
        <w:t>Groupe d’examen de la coopération internationale du GAFI (</w:t>
      </w:r>
      <w:r w:rsidRPr="004A6E37">
        <w:rPr>
          <w:rFonts w:ascii="Times New Roman" w:hAnsi="Times New Roman" w:cs="Times New Roman"/>
          <w:sz w:val="24"/>
          <w:szCs w:val="24"/>
          <w:shd w:val="clear" w:color="auto" w:fill="FFFFFF"/>
        </w:rPr>
        <w:t>ICRG/GAFI</w:t>
      </w:r>
      <w:r w:rsidR="004B68E2" w:rsidRPr="004A6E37">
        <w:rPr>
          <w:rFonts w:ascii="Times New Roman" w:hAnsi="Times New Roman" w:cs="Times New Roman"/>
          <w:sz w:val="24"/>
          <w:szCs w:val="24"/>
          <w:shd w:val="clear" w:color="auto" w:fill="FFFFFF"/>
        </w:rPr>
        <w:t>)</w:t>
      </w:r>
      <w:r w:rsidRPr="004A6E37">
        <w:rPr>
          <w:rFonts w:ascii="Times New Roman" w:hAnsi="Times New Roman" w:cs="Times New Roman"/>
          <w:sz w:val="24"/>
          <w:szCs w:val="24"/>
          <w:shd w:val="clear" w:color="auto" w:fill="FFFFFF"/>
        </w:rPr>
        <w:t xml:space="preserve"> </w:t>
      </w:r>
      <w:r w:rsidR="00047352" w:rsidRPr="004A6E37">
        <w:rPr>
          <w:rFonts w:ascii="Times New Roman" w:hAnsi="Times New Roman" w:cs="Times New Roman"/>
          <w:sz w:val="24"/>
          <w:szCs w:val="24"/>
          <w:shd w:val="clear" w:color="auto" w:fill="FFFFFF"/>
        </w:rPr>
        <w:t>qui a été retenu</w:t>
      </w:r>
      <w:r w:rsidRPr="004A6E37">
        <w:rPr>
          <w:rFonts w:ascii="Times New Roman" w:hAnsi="Times New Roman" w:cs="Times New Roman"/>
          <w:sz w:val="24"/>
          <w:szCs w:val="24"/>
          <w:shd w:val="clear" w:color="auto" w:fill="FFFFFF"/>
        </w:rPr>
        <w:t>.</w:t>
      </w:r>
      <w:r w:rsidRPr="004A6E37">
        <w:rPr>
          <w:rFonts w:ascii="Times New Roman" w:hAnsi="Times New Roman" w:cs="Times New Roman"/>
          <w:sz w:val="24"/>
          <w:szCs w:val="24"/>
        </w:rPr>
        <w:t xml:space="preserve"> </w:t>
      </w:r>
      <w:r w:rsidR="00A134C6" w:rsidRPr="004A6E37">
        <w:rPr>
          <w:rFonts w:ascii="Times New Roman" w:hAnsi="Times New Roman" w:cs="Times New Roman"/>
          <w:sz w:val="24"/>
          <w:szCs w:val="24"/>
        </w:rPr>
        <w:t xml:space="preserve">C’est dans </w:t>
      </w:r>
      <w:r w:rsidR="00B071AC" w:rsidRPr="004A6E37">
        <w:rPr>
          <w:rFonts w:ascii="Times New Roman" w:hAnsi="Times New Roman" w:cs="Times New Roman"/>
          <w:sz w:val="24"/>
          <w:szCs w:val="24"/>
        </w:rPr>
        <w:t>ce cadre que la CENTIF a initié</w:t>
      </w:r>
      <w:r w:rsidR="00A134C6" w:rsidRPr="004A6E37">
        <w:rPr>
          <w:rFonts w:ascii="Times New Roman" w:hAnsi="Times New Roman" w:cs="Times New Roman"/>
          <w:sz w:val="24"/>
          <w:szCs w:val="24"/>
        </w:rPr>
        <w:t xml:space="preserve"> la présente étude pour corriger ces insuffisances ci-dessus citées.</w:t>
      </w:r>
    </w:p>
    <w:p w14:paraId="7973079E" w14:textId="77777777" w:rsidR="009B7F30" w:rsidRPr="004A6E37" w:rsidRDefault="002E2BE8" w:rsidP="00920BFE">
      <w:pPr>
        <w:pStyle w:val="Paragraphedeliste"/>
        <w:numPr>
          <w:ilvl w:val="0"/>
          <w:numId w:val="1"/>
        </w:numPr>
        <w:outlineLvl w:val="1"/>
        <w:rPr>
          <w:rFonts w:ascii="Times New Roman" w:hAnsi="Times New Roman" w:cs="Times New Roman"/>
          <w:b/>
          <w:sz w:val="24"/>
          <w:szCs w:val="24"/>
        </w:rPr>
      </w:pPr>
      <w:bookmarkStart w:id="4" w:name="_Toc126251853"/>
      <w:r w:rsidRPr="004A6E37">
        <w:rPr>
          <w:rFonts w:ascii="Times New Roman" w:hAnsi="Times New Roman" w:cs="Times New Roman"/>
          <w:b/>
          <w:sz w:val="24"/>
          <w:szCs w:val="24"/>
        </w:rPr>
        <w:t>Objectif global :</w:t>
      </w:r>
      <w:bookmarkEnd w:id="4"/>
      <w:r w:rsidRPr="004A6E37">
        <w:rPr>
          <w:rFonts w:ascii="Times New Roman" w:hAnsi="Times New Roman" w:cs="Times New Roman"/>
          <w:b/>
          <w:sz w:val="24"/>
          <w:szCs w:val="24"/>
        </w:rPr>
        <w:t xml:space="preserve"> </w:t>
      </w:r>
    </w:p>
    <w:p w14:paraId="4CF8336E" w14:textId="77777777" w:rsidR="009B7F30" w:rsidRPr="004A6E37" w:rsidRDefault="002E2BE8" w:rsidP="00F119B6">
      <w:p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rPr>
        <w:t xml:space="preserve">L’objectif global de l’étude est d’identifier, d’analyser et de comprendre les risques </w:t>
      </w:r>
      <w:r w:rsidRPr="004A6E37">
        <w:rPr>
          <w:rFonts w:ascii="Times New Roman" w:hAnsi="Times New Roman" w:cs="Times New Roman"/>
          <w:sz w:val="24"/>
          <w:szCs w:val="24"/>
          <w:shd w:val="clear" w:color="auto" w:fill="FFFFFF"/>
        </w:rPr>
        <w:t>de blanchiment de capitaux et de financement du terrorisme liés aux personnes morales et autres constructions juridiques établies au Mali, ainsi que la proposition de mesures spécifiques d’atténuation desdits risques.</w:t>
      </w:r>
    </w:p>
    <w:p w14:paraId="68D9E6B0" w14:textId="77777777" w:rsidR="009B7F30" w:rsidRPr="004A6E37" w:rsidRDefault="002E2BE8" w:rsidP="00920BFE">
      <w:pPr>
        <w:pStyle w:val="Paragraphedeliste"/>
        <w:numPr>
          <w:ilvl w:val="0"/>
          <w:numId w:val="1"/>
        </w:numPr>
        <w:spacing w:line="360" w:lineRule="auto"/>
        <w:jc w:val="both"/>
        <w:outlineLvl w:val="1"/>
        <w:rPr>
          <w:rFonts w:ascii="Times New Roman" w:hAnsi="Times New Roman" w:cs="Times New Roman"/>
          <w:b/>
          <w:sz w:val="24"/>
          <w:szCs w:val="24"/>
          <w:shd w:val="clear" w:color="auto" w:fill="FFFFFF"/>
        </w:rPr>
      </w:pPr>
      <w:bookmarkStart w:id="5" w:name="_Toc126251854"/>
      <w:r w:rsidRPr="004A6E37">
        <w:rPr>
          <w:rFonts w:ascii="Times New Roman" w:hAnsi="Times New Roman" w:cs="Times New Roman"/>
          <w:b/>
          <w:sz w:val="24"/>
          <w:szCs w:val="24"/>
          <w:shd w:val="clear" w:color="auto" w:fill="FFFFFF"/>
        </w:rPr>
        <w:t>Objectifs spécifiques :</w:t>
      </w:r>
      <w:bookmarkEnd w:id="5"/>
    </w:p>
    <w:p w14:paraId="0A73E514" w14:textId="77777777" w:rsidR="009B7F30" w:rsidRPr="004A6E37" w:rsidRDefault="00A134C6" w:rsidP="00230E60">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w:t>
      </w:r>
      <w:r w:rsidR="002E2BE8" w:rsidRPr="004A6E37">
        <w:rPr>
          <w:rFonts w:ascii="Times New Roman" w:hAnsi="Times New Roman" w:cs="Times New Roman"/>
          <w:sz w:val="24"/>
          <w:szCs w:val="24"/>
        </w:rPr>
        <w:t>es objectifs</w:t>
      </w:r>
      <w:r w:rsidRPr="004A6E37">
        <w:rPr>
          <w:rFonts w:ascii="Times New Roman" w:hAnsi="Times New Roman" w:cs="Times New Roman"/>
          <w:b/>
          <w:sz w:val="24"/>
          <w:szCs w:val="24"/>
          <w:shd w:val="clear" w:color="auto" w:fill="FFFFFF"/>
        </w:rPr>
        <w:t xml:space="preserve"> </w:t>
      </w:r>
      <w:r w:rsidRPr="004A6E37">
        <w:rPr>
          <w:rFonts w:ascii="Times New Roman" w:hAnsi="Times New Roman" w:cs="Times New Roman"/>
          <w:sz w:val="24"/>
          <w:szCs w:val="24"/>
          <w:shd w:val="clear" w:color="auto" w:fill="FFFFFF"/>
        </w:rPr>
        <w:t>spécifiques</w:t>
      </w:r>
      <w:r w:rsidRPr="004A6E37">
        <w:rPr>
          <w:rFonts w:ascii="Times New Roman" w:hAnsi="Times New Roman" w:cs="Times New Roman"/>
          <w:sz w:val="24"/>
          <w:szCs w:val="24"/>
        </w:rPr>
        <w:t xml:space="preserve"> </w:t>
      </w:r>
      <w:r w:rsidR="002E2BE8" w:rsidRPr="004A6E37">
        <w:rPr>
          <w:rFonts w:ascii="Times New Roman" w:hAnsi="Times New Roman" w:cs="Times New Roman"/>
          <w:sz w:val="24"/>
          <w:szCs w:val="24"/>
        </w:rPr>
        <w:t xml:space="preserve">de l'étude </w:t>
      </w:r>
      <w:r w:rsidRPr="004A6E37">
        <w:rPr>
          <w:rFonts w:ascii="Times New Roman" w:hAnsi="Times New Roman" w:cs="Times New Roman"/>
          <w:sz w:val="24"/>
          <w:szCs w:val="24"/>
        </w:rPr>
        <w:t>sont</w:t>
      </w:r>
      <w:r w:rsidR="002E2BE8" w:rsidRPr="004A6E37">
        <w:rPr>
          <w:rFonts w:ascii="Times New Roman" w:hAnsi="Times New Roman" w:cs="Times New Roman"/>
          <w:sz w:val="24"/>
          <w:szCs w:val="24"/>
        </w:rPr>
        <w:t xml:space="preserve"> :</w:t>
      </w:r>
    </w:p>
    <w:p w14:paraId="1B27DC67"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lastRenderedPageBreak/>
        <w:t>i</w:t>
      </w:r>
      <w:r w:rsidR="002E2BE8" w:rsidRPr="004A6E37">
        <w:rPr>
          <w:rFonts w:ascii="Times New Roman" w:hAnsi="Times New Roman" w:cs="Times New Roman"/>
          <w:sz w:val="24"/>
          <w:szCs w:val="24"/>
          <w:shd w:val="clear" w:color="auto" w:fill="FFFFFF"/>
        </w:rPr>
        <w:t xml:space="preserve">dentifier les formes de personnes morales et </w:t>
      </w:r>
      <w:r w:rsidR="004C277F" w:rsidRPr="004A6E37">
        <w:rPr>
          <w:rFonts w:ascii="Times New Roman" w:hAnsi="Times New Roman" w:cs="Times New Roman"/>
          <w:sz w:val="24"/>
          <w:szCs w:val="24"/>
          <w:shd w:val="clear" w:color="auto" w:fill="FFFFFF"/>
        </w:rPr>
        <w:t>autres</w:t>
      </w:r>
      <w:r w:rsidR="002E2BE8" w:rsidRPr="004A6E37">
        <w:rPr>
          <w:rFonts w:ascii="Times New Roman" w:hAnsi="Times New Roman" w:cs="Times New Roman"/>
          <w:sz w:val="24"/>
          <w:szCs w:val="24"/>
          <w:shd w:val="clear" w:color="auto" w:fill="FFFFFF"/>
        </w:rPr>
        <w:t xml:space="preserve"> constructions juridiques établies au Mali ;</w:t>
      </w:r>
    </w:p>
    <w:p w14:paraId="633F0E5E"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r</w:t>
      </w:r>
      <w:r w:rsidR="002E2BE8" w:rsidRPr="004A6E37">
        <w:rPr>
          <w:rFonts w:ascii="Times New Roman" w:hAnsi="Times New Roman" w:cs="Times New Roman"/>
          <w:sz w:val="24"/>
          <w:szCs w:val="24"/>
          <w:shd w:val="clear" w:color="auto" w:fill="FFFFFF"/>
        </w:rPr>
        <w:t xml:space="preserve">ecenser par </w:t>
      </w:r>
      <w:r w:rsidR="004C277F" w:rsidRPr="004A6E37">
        <w:rPr>
          <w:rFonts w:ascii="Times New Roman" w:hAnsi="Times New Roman" w:cs="Times New Roman"/>
          <w:sz w:val="24"/>
          <w:szCs w:val="24"/>
          <w:shd w:val="clear" w:color="auto" w:fill="FFFFFF"/>
        </w:rPr>
        <w:t>catégorie les personnes morales</w:t>
      </w:r>
      <w:r w:rsidR="002E2BE8" w:rsidRPr="004A6E37">
        <w:rPr>
          <w:rFonts w:ascii="Times New Roman" w:hAnsi="Times New Roman" w:cs="Times New Roman"/>
          <w:sz w:val="24"/>
          <w:szCs w:val="24"/>
          <w:shd w:val="clear" w:color="auto" w:fill="FFFFFF"/>
        </w:rPr>
        <w:t xml:space="preserve"> et autres constructions juridiques établies au Mali ;</w:t>
      </w:r>
    </w:p>
    <w:p w14:paraId="051719C6"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a</w:t>
      </w:r>
      <w:r w:rsidR="002E2BE8" w:rsidRPr="004A6E37">
        <w:rPr>
          <w:rFonts w:ascii="Times New Roman" w:hAnsi="Times New Roman" w:cs="Times New Roman"/>
          <w:sz w:val="24"/>
          <w:szCs w:val="24"/>
          <w:shd w:val="clear" w:color="auto" w:fill="FFFFFF"/>
        </w:rPr>
        <w:t>nalyser le mécanisme de création et d’établissement des personnes morales et autres constructions juridiques établies au Mali ;</w:t>
      </w:r>
    </w:p>
    <w:p w14:paraId="62446A70"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a</w:t>
      </w:r>
      <w:r w:rsidR="002E2BE8" w:rsidRPr="004A6E37">
        <w:rPr>
          <w:rFonts w:ascii="Times New Roman" w:hAnsi="Times New Roman" w:cs="Times New Roman"/>
          <w:sz w:val="24"/>
          <w:szCs w:val="24"/>
          <w:shd w:val="clear" w:color="auto" w:fill="FFFFFF"/>
        </w:rPr>
        <w:t>nalys</w:t>
      </w:r>
      <w:r w:rsidR="00A85F41" w:rsidRPr="004A6E37">
        <w:rPr>
          <w:rFonts w:ascii="Times New Roman" w:hAnsi="Times New Roman" w:cs="Times New Roman"/>
          <w:sz w:val="24"/>
          <w:szCs w:val="24"/>
          <w:shd w:val="clear" w:color="auto" w:fill="FFFFFF"/>
        </w:rPr>
        <w:t>er les obligations de diligence</w:t>
      </w:r>
      <w:r w:rsidR="002E2BE8" w:rsidRPr="004A6E37">
        <w:rPr>
          <w:rFonts w:ascii="Times New Roman" w:hAnsi="Times New Roman" w:cs="Times New Roman"/>
          <w:sz w:val="24"/>
          <w:szCs w:val="24"/>
          <w:shd w:val="clear" w:color="auto" w:fill="FFFFFF"/>
        </w:rPr>
        <w:t xml:space="preserve"> prévues par les lois et règlements en matière de LBC/FT pour la création et l’établissement de personnes morales et autres constructions juridiques au Mali ;</w:t>
      </w:r>
    </w:p>
    <w:p w14:paraId="75B43CA7"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a</w:t>
      </w:r>
      <w:r w:rsidR="002E2BE8" w:rsidRPr="004A6E37">
        <w:rPr>
          <w:rFonts w:ascii="Times New Roman" w:hAnsi="Times New Roman" w:cs="Times New Roman"/>
          <w:sz w:val="24"/>
          <w:szCs w:val="24"/>
          <w:shd w:val="clear" w:color="auto" w:fill="FFFFFF"/>
        </w:rPr>
        <w:t>nalyser dans quelle mesure le Mali dispose de mécanisme de recours à l’entraide judiciaire dans ce domaine ;</w:t>
      </w:r>
    </w:p>
    <w:p w14:paraId="1E87B713"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m</w:t>
      </w:r>
      <w:r w:rsidR="002E2BE8" w:rsidRPr="004A6E37">
        <w:rPr>
          <w:rFonts w:ascii="Times New Roman" w:hAnsi="Times New Roman" w:cs="Times New Roman"/>
          <w:sz w:val="24"/>
          <w:szCs w:val="24"/>
          <w:shd w:val="clear" w:color="auto" w:fill="FFFFFF"/>
        </w:rPr>
        <w:t>ettre en exergue toutes autres formes de coopération internationale auxquelles le Mali peut recourir ainsi que les insuffisances dans ce domaine ;</w:t>
      </w:r>
    </w:p>
    <w:p w14:paraId="578716AA"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i</w:t>
      </w:r>
      <w:r w:rsidR="002E2BE8" w:rsidRPr="004A6E37">
        <w:rPr>
          <w:rFonts w:ascii="Times New Roman" w:hAnsi="Times New Roman" w:cs="Times New Roman"/>
          <w:sz w:val="24"/>
          <w:szCs w:val="24"/>
          <w:shd w:val="clear" w:color="auto" w:fill="FFFFFF"/>
        </w:rPr>
        <w:t>dentifier les insuffisances des lois, règlements et mécanismes ;</w:t>
      </w:r>
    </w:p>
    <w:p w14:paraId="747D4B86" w14:textId="77777777" w:rsidR="009B7F30" w:rsidRPr="004A6E37" w:rsidRDefault="00000A3D" w:rsidP="00920BFE">
      <w:pPr>
        <w:pStyle w:val="Paragraphedeliste"/>
        <w:numPr>
          <w:ilvl w:val="0"/>
          <w:numId w:val="2"/>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i</w:t>
      </w:r>
      <w:r w:rsidR="002E2BE8" w:rsidRPr="004A6E37">
        <w:rPr>
          <w:rFonts w:ascii="Times New Roman" w:hAnsi="Times New Roman" w:cs="Times New Roman"/>
          <w:sz w:val="24"/>
          <w:szCs w:val="24"/>
          <w:shd w:val="clear" w:color="auto" w:fill="FFFFFF"/>
        </w:rPr>
        <w:t>dentifier et évaluer les risques de BC/FT liés auxdites personnes morales et autres  constructions juridiques, notamment :</w:t>
      </w:r>
    </w:p>
    <w:p w14:paraId="05C756BC" w14:textId="77777777" w:rsidR="009B7F30" w:rsidRPr="004A6E37" w:rsidRDefault="00000A3D" w:rsidP="008651A2">
      <w:pPr>
        <w:pStyle w:val="Paragraphedeliste"/>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 l</w:t>
      </w:r>
      <w:r w:rsidR="002E2BE8" w:rsidRPr="004A6E37">
        <w:rPr>
          <w:rFonts w:ascii="Times New Roman" w:hAnsi="Times New Roman" w:cs="Times New Roman"/>
          <w:sz w:val="24"/>
          <w:szCs w:val="24"/>
          <w:shd w:val="clear" w:color="auto" w:fill="FFFFFF"/>
        </w:rPr>
        <w:t>es risques d’être utilisées comme façade permettant la fraude ou la fausse facturation ;</w:t>
      </w:r>
    </w:p>
    <w:p w14:paraId="4B5711EF" w14:textId="77777777" w:rsidR="009B7F30" w:rsidRPr="004A6E37" w:rsidRDefault="00000A3D" w:rsidP="008651A2">
      <w:pPr>
        <w:pStyle w:val="Paragraphedeliste"/>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 l</w:t>
      </w:r>
      <w:r w:rsidR="002E2BE8" w:rsidRPr="004A6E37">
        <w:rPr>
          <w:rFonts w:ascii="Times New Roman" w:hAnsi="Times New Roman" w:cs="Times New Roman"/>
          <w:sz w:val="24"/>
          <w:szCs w:val="24"/>
          <w:shd w:val="clear" w:color="auto" w:fill="FFFFFF"/>
        </w:rPr>
        <w:t>’utilisation pour opacifier l’identité du bénéficiaire effectif ;</w:t>
      </w:r>
    </w:p>
    <w:p w14:paraId="6657DB08" w14:textId="77777777" w:rsidR="00E7484D" w:rsidRPr="004A6E37" w:rsidRDefault="00000A3D" w:rsidP="008651A2">
      <w:pPr>
        <w:pStyle w:val="Paragraphedeliste"/>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 l</w:t>
      </w:r>
      <w:r w:rsidR="002E2BE8" w:rsidRPr="004A6E37">
        <w:rPr>
          <w:rFonts w:ascii="Times New Roman" w:hAnsi="Times New Roman" w:cs="Times New Roman"/>
          <w:sz w:val="24"/>
          <w:szCs w:val="24"/>
          <w:shd w:val="clear" w:color="auto" w:fill="FFFFFF"/>
        </w:rPr>
        <w:t>a possibilité de préserver l’anonymat des associés ;</w:t>
      </w:r>
    </w:p>
    <w:p w14:paraId="537AC09C" w14:textId="77777777" w:rsidR="009B7F30" w:rsidRPr="004A6E37" w:rsidRDefault="00420AF8" w:rsidP="008651A2">
      <w:pPr>
        <w:pStyle w:val="Paragraphedeliste"/>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 l</w:t>
      </w:r>
      <w:r w:rsidR="002E2BE8" w:rsidRPr="004A6E37">
        <w:rPr>
          <w:rFonts w:ascii="Times New Roman" w:hAnsi="Times New Roman" w:cs="Times New Roman"/>
          <w:sz w:val="24"/>
          <w:szCs w:val="24"/>
          <w:shd w:val="clear" w:color="auto" w:fill="FFFFFF"/>
        </w:rPr>
        <w:t>a possibilité de dissociation du droit de propriété rendant difficile l’identification des biens ;</w:t>
      </w:r>
    </w:p>
    <w:p w14:paraId="273C006F" w14:textId="77777777" w:rsidR="009B7F30" w:rsidRPr="004A6E37" w:rsidRDefault="00066630" w:rsidP="00920BFE">
      <w:pPr>
        <w:pStyle w:val="Paragraphedeliste"/>
        <w:numPr>
          <w:ilvl w:val="0"/>
          <w:numId w:val="10"/>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p</w:t>
      </w:r>
      <w:r w:rsidR="002E2BE8" w:rsidRPr="004A6E37">
        <w:rPr>
          <w:rFonts w:ascii="Times New Roman" w:hAnsi="Times New Roman" w:cs="Times New Roman"/>
          <w:sz w:val="24"/>
          <w:szCs w:val="24"/>
          <w:shd w:val="clear" w:color="auto" w:fill="FFFFFF"/>
        </w:rPr>
        <w:t>roposer des mesures spécifiques d’atténuation de ces risques de BC/FT ;</w:t>
      </w:r>
    </w:p>
    <w:p w14:paraId="43E95B0C" w14:textId="77777777" w:rsidR="009B7F30" w:rsidRPr="004A6E37" w:rsidRDefault="00066630" w:rsidP="00920BFE">
      <w:pPr>
        <w:pStyle w:val="Paragraphedeliste"/>
        <w:numPr>
          <w:ilvl w:val="0"/>
          <w:numId w:val="10"/>
        </w:numPr>
        <w:spacing w:line="360" w:lineRule="auto"/>
        <w:jc w:val="both"/>
        <w:rPr>
          <w:rFonts w:ascii="Times New Roman" w:hAnsi="Times New Roman" w:cs="Times New Roman"/>
          <w:sz w:val="24"/>
          <w:szCs w:val="24"/>
          <w:shd w:val="clear" w:color="auto" w:fill="FFFFFF"/>
        </w:rPr>
      </w:pPr>
      <w:r w:rsidRPr="004A6E37">
        <w:rPr>
          <w:rFonts w:ascii="Times New Roman" w:hAnsi="Times New Roman" w:cs="Times New Roman"/>
          <w:sz w:val="24"/>
          <w:szCs w:val="24"/>
          <w:shd w:val="clear" w:color="auto" w:fill="FFFFFF"/>
        </w:rPr>
        <w:t>p</w:t>
      </w:r>
      <w:r w:rsidR="002E2BE8" w:rsidRPr="004A6E37">
        <w:rPr>
          <w:rFonts w:ascii="Times New Roman" w:hAnsi="Times New Roman" w:cs="Times New Roman"/>
          <w:sz w:val="24"/>
          <w:szCs w:val="24"/>
          <w:shd w:val="clear" w:color="auto" w:fill="FFFFFF"/>
        </w:rPr>
        <w:t>roposer un plan d’action de mise en œuvre des mesures d’atténuation</w:t>
      </w:r>
      <w:r w:rsidR="00AB7502" w:rsidRPr="004A6E37">
        <w:rPr>
          <w:rFonts w:ascii="Times New Roman" w:hAnsi="Times New Roman" w:cs="Times New Roman"/>
          <w:sz w:val="24"/>
          <w:szCs w:val="24"/>
          <w:shd w:val="clear" w:color="auto" w:fill="FFFFFF"/>
        </w:rPr>
        <w:t>.</w:t>
      </w:r>
    </w:p>
    <w:p w14:paraId="6A56A217" w14:textId="77777777" w:rsidR="009B7F30" w:rsidRPr="004A6E37" w:rsidRDefault="002E2BE8" w:rsidP="00920BFE">
      <w:pPr>
        <w:pStyle w:val="Paragraphedeliste"/>
        <w:numPr>
          <w:ilvl w:val="0"/>
          <w:numId w:val="1"/>
        </w:numPr>
        <w:spacing w:line="360" w:lineRule="auto"/>
        <w:jc w:val="both"/>
        <w:outlineLvl w:val="1"/>
        <w:rPr>
          <w:rFonts w:ascii="Times New Roman" w:hAnsi="Times New Roman" w:cs="Times New Roman"/>
          <w:b/>
          <w:sz w:val="24"/>
          <w:szCs w:val="24"/>
          <w:shd w:val="clear" w:color="auto" w:fill="FFFFFF"/>
        </w:rPr>
      </w:pPr>
      <w:bookmarkStart w:id="6" w:name="_Toc126251855"/>
      <w:r w:rsidRPr="004A6E37">
        <w:rPr>
          <w:rFonts w:ascii="Times New Roman" w:hAnsi="Times New Roman" w:cs="Times New Roman"/>
          <w:b/>
          <w:sz w:val="24"/>
          <w:szCs w:val="24"/>
          <w:shd w:val="clear" w:color="auto" w:fill="FFFFFF"/>
        </w:rPr>
        <w:t>Méthodologie</w:t>
      </w:r>
      <w:bookmarkEnd w:id="6"/>
    </w:p>
    <w:p w14:paraId="1895382E" w14:textId="77777777" w:rsidR="005426B5"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Cette étude sur l’évaluation</w:t>
      </w:r>
      <w:r w:rsidRPr="004A6E37">
        <w:rPr>
          <w:rFonts w:ascii="Times New Roman" w:hAnsi="Times New Roman" w:cs="Times New Roman"/>
          <w:bCs/>
          <w:sz w:val="24"/>
          <w:szCs w:val="24"/>
        </w:rPr>
        <w:t xml:space="preserve"> </w:t>
      </w:r>
      <w:r w:rsidRPr="004A6E37">
        <w:rPr>
          <w:rFonts w:ascii="Times New Roman" w:hAnsi="Times New Roman" w:cs="Times New Roman"/>
          <w:sz w:val="24"/>
          <w:szCs w:val="24"/>
        </w:rPr>
        <w:t xml:space="preserve">des risques de BC/FT </w:t>
      </w:r>
      <w:r w:rsidR="00AB7502" w:rsidRPr="004A6E37">
        <w:rPr>
          <w:rFonts w:ascii="Times New Roman" w:hAnsi="Times New Roman" w:cs="Times New Roman"/>
          <w:sz w:val="24"/>
          <w:szCs w:val="24"/>
        </w:rPr>
        <w:t>auxquels sont exposés</w:t>
      </w:r>
      <w:r w:rsidRPr="004A6E37">
        <w:rPr>
          <w:rFonts w:ascii="Times New Roman" w:hAnsi="Times New Roman" w:cs="Times New Roman"/>
          <w:sz w:val="24"/>
          <w:szCs w:val="24"/>
        </w:rPr>
        <w:t xml:space="preserve"> les personnes morales et autres constructions juridiques établies au Mali</w:t>
      </w:r>
      <w:r w:rsidRPr="004A6E37">
        <w:rPr>
          <w:rFonts w:ascii="Times New Roman" w:hAnsi="Times New Roman" w:cs="Times New Roman"/>
          <w:b/>
          <w:bCs/>
          <w:sz w:val="24"/>
          <w:szCs w:val="24"/>
        </w:rPr>
        <w:t xml:space="preserve"> </w:t>
      </w:r>
      <w:r w:rsidRPr="004A6E37">
        <w:rPr>
          <w:rFonts w:ascii="Times New Roman" w:hAnsi="Times New Roman" w:cs="Times New Roman"/>
          <w:sz w:val="24"/>
          <w:szCs w:val="24"/>
        </w:rPr>
        <w:t xml:space="preserve">a été </w:t>
      </w:r>
      <w:r w:rsidR="00001FED" w:rsidRPr="004A6E37">
        <w:rPr>
          <w:rFonts w:ascii="Times New Roman" w:hAnsi="Times New Roman" w:cs="Times New Roman"/>
          <w:sz w:val="24"/>
          <w:szCs w:val="24"/>
        </w:rPr>
        <w:t xml:space="preserve">faite </w:t>
      </w:r>
      <w:r w:rsidRPr="004A6E37">
        <w:rPr>
          <w:rFonts w:ascii="Times New Roman" w:hAnsi="Times New Roman" w:cs="Times New Roman"/>
          <w:sz w:val="24"/>
          <w:szCs w:val="24"/>
        </w:rPr>
        <w:t xml:space="preserve">selon une approche structurée et rigoureuse. La méthodologie utilisée a été élaborée en tenant compte </w:t>
      </w:r>
      <w:r w:rsidR="008B522B" w:rsidRPr="004A6E37">
        <w:rPr>
          <w:rFonts w:ascii="Times New Roman" w:hAnsi="Times New Roman" w:cs="Times New Roman"/>
          <w:sz w:val="24"/>
          <w:szCs w:val="24"/>
        </w:rPr>
        <w:t xml:space="preserve">d’une part </w:t>
      </w:r>
      <w:r w:rsidRPr="004A6E37">
        <w:rPr>
          <w:rFonts w:ascii="Times New Roman" w:hAnsi="Times New Roman" w:cs="Times New Roman"/>
          <w:sz w:val="24"/>
          <w:szCs w:val="24"/>
        </w:rPr>
        <w:t>des lignes directrices internationales (p.ex. les lignes directrices du GAF</w:t>
      </w:r>
      <w:r w:rsidR="001B435B" w:rsidRPr="004A6E37">
        <w:rPr>
          <w:rFonts w:ascii="Times New Roman" w:hAnsi="Times New Roman" w:cs="Times New Roman"/>
          <w:sz w:val="24"/>
          <w:szCs w:val="24"/>
        </w:rPr>
        <w:t>I), des approches de la Banque M</w:t>
      </w:r>
      <w:r w:rsidRPr="004A6E37">
        <w:rPr>
          <w:rFonts w:ascii="Times New Roman" w:hAnsi="Times New Roman" w:cs="Times New Roman"/>
          <w:sz w:val="24"/>
          <w:szCs w:val="24"/>
        </w:rPr>
        <w:t xml:space="preserve">ondiale </w:t>
      </w:r>
      <w:r w:rsidR="00C46FA0" w:rsidRPr="004A6E37">
        <w:rPr>
          <w:rFonts w:ascii="Times New Roman" w:hAnsi="Times New Roman" w:cs="Times New Roman"/>
          <w:sz w:val="24"/>
          <w:szCs w:val="24"/>
        </w:rPr>
        <w:t xml:space="preserve">(BM) </w:t>
      </w:r>
      <w:r w:rsidRPr="004A6E37">
        <w:rPr>
          <w:rFonts w:ascii="Times New Roman" w:hAnsi="Times New Roman" w:cs="Times New Roman"/>
          <w:sz w:val="24"/>
          <w:szCs w:val="24"/>
        </w:rPr>
        <w:t>et du F</w:t>
      </w:r>
      <w:r w:rsidR="001D160D" w:rsidRPr="004A6E37">
        <w:rPr>
          <w:rFonts w:ascii="Times New Roman" w:hAnsi="Times New Roman" w:cs="Times New Roman"/>
          <w:sz w:val="24"/>
          <w:szCs w:val="24"/>
        </w:rPr>
        <w:t xml:space="preserve">onds </w:t>
      </w:r>
      <w:r w:rsidRPr="004A6E37">
        <w:rPr>
          <w:rFonts w:ascii="Times New Roman" w:hAnsi="Times New Roman" w:cs="Times New Roman"/>
          <w:sz w:val="24"/>
          <w:szCs w:val="24"/>
        </w:rPr>
        <w:t>M</w:t>
      </w:r>
      <w:r w:rsidR="001D160D" w:rsidRPr="004A6E37">
        <w:rPr>
          <w:rFonts w:ascii="Times New Roman" w:hAnsi="Times New Roman" w:cs="Times New Roman"/>
          <w:sz w:val="24"/>
          <w:szCs w:val="24"/>
        </w:rPr>
        <w:t xml:space="preserve">onétaire </w:t>
      </w:r>
      <w:r w:rsidRPr="004A6E37">
        <w:rPr>
          <w:rFonts w:ascii="Times New Roman" w:hAnsi="Times New Roman" w:cs="Times New Roman"/>
          <w:sz w:val="24"/>
          <w:szCs w:val="24"/>
        </w:rPr>
        <w:t>I</w:t>
      </w:r>
      <w:r w:rsidR="001D160D" w:rsidRPr="004A6E37">
        <w:rPr>
          <w:rFonts w:ascii="Times New Roman" w:hAnsi="Times New Roman" w:cs="Times New Roman"/>
          <w:sz w:val="24"/>
          <w:szCs w:val="24"/>
        </w:rPr>
        <w:t>nternational (FMI)</w:t>
      </w:r>
      <w:r w:rsidRPr="004A6E37">
        <w:rPr>
          <w:rFonts w:ascii="Times New Roman" w:hAnsi="Times New Roman" w:cs="Times New Roman"/>
          <w:sz w:val="24"/>
          <w:szCs w:val="24"/>
        </w:rPr>
        <w:t xml:space="preserve">, et </w:t>
      </w:r>
      <w:r w:rsidR="008B522B" w:rsidRPr="004A6E37">
        <w:rPr>
          <w:rFonts w:ascii="Times New Roman" w:hAnsi="Times New Roman" w:cs="Times New Roman"/>
          <w:sz w:val="24"/>
          <w:szCs w:val="24"/>
        </w:rPr>
        <w:t xml:space="preserve">d’autre part </w:t>
      </w:r>
      <w:r w:rsidRPr="004A6E37">
        <w:rPr>
          <w:rFonts w:ascii="Times New Roman" w:hAnsi="Times New Roman" w:cs="Times New Roman"/>
          <w:sz w:val="24"/>
          <w:szCs w:val="24"/>
        </w:rPr>
        <w:t xml:space="preserve">d'une consultation approfondie des parties prenantes des secteurs public et privé. </w:t>
      </w:r>
    </w:p>
    <w:p w14:paraId="2F98FECD"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L’approche combinée a le double avantage de fonder l’analyse des menaces sur une base objective, tout en multipliant les sources d’information susceptibles de consolider et de compléter l’évaluation des risques. </w:t>
      </w:r>
      <w:r w:rsidR="005426B5" w:rsidRPr="004A6E37">
        <w:rPr>
          <w:rFonts w:ascii="Times New Roman" w:hAnsi="Times New Roman" w:cs="Times New Roman"/>
          <w:sz w:val="24"/>
          <w:szCs w:val="24"/>
        </w:rPr>
        <w:t>Elle</w:t>
      </w:r>
      <w:r w:rsidRPr="004A6E37">
        <w:rPr>
          <w:rFonts w:ascii="Times New Roman" w:hAnsi="Times New Roman" w:cs="Times New Roman"/>
          <w:sz w:val="24"/>
          <w:szCs w:val="24"/>
        </w:rPr>
        <w:t xml:space="preserve"> permet également de fixer un cadre ouvert pour les interlocuteurs du </w:t>
      </w:r>
      <w:r w:rsidRPr="004A6E37">
        <w:rPr>
          <w:rFonts w:ascii="Times New Roman" w:hAnsi="Times New Roman" w:cs="Times New Roman"/>
          <w:sz w:val="24"/>
          <w:szCs w:val="24"/>
        </w:rPr>
        <w:lastRenderedPageBreak/>
        <w:t xml:space="preserve">secteur privé qui peuvent ainsi contribuer à l’analyse des risques au travers de leurs propres expériences et évaluations. </w:t>
      </w:r>
    </w:p>
    <w:p w14:paraId="1B73B9E5" w14:textId="77777777" w:rsidR="009B7F30" w:rsidRPr="004A6E37" w:rsidRDefault="00C25C3B">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w:t>
      </w:r>
      <w:r w:rsidR="002E2BE8" w:rsidRPr="004A6E37">
        <w:rPr>
          <w:rFonts w:ascii="Times New Roman" w:hAnsi="Times New Roman" w:cs="Times New Roman"/>
          <w:sz w:val="24"/>
          <w:szCs w:val="24"/>
        </w:rPr>
        <w:t xml:space="preserve">es mesures quantitatives ont été confrontées aux menaces potentielles telles qu’elles pouvaient être établies au travers d’une multitude de sources. A cet effet, l’équipe a pris en considération toute information pertinente issue de rapports internationaux et nationaux, publics et internes, ainsi que les statistiques officielles disponibles au Mali susceptibles de circonscrire les risques de blanchiment  </w:t>
      </w:r>
      <w:r w:rsidR="00CA56D8" w:rsidRPr="004A6E37">
        <w:rPr>
          <w:rFonts w:ascii="Times New Roman" w:hAnsi="Times New Roman" w:cs="Times New Roman"/>
          <w:sz w:val="24"/>
          <w:szCs w:val="24"/>
        </w:rPr>
        <w:t xml:space="preserve">de capitaux </w:t>
      </w:r>
      <w:r w:rsidR="002E2BE8" w:rsidRPr="004A6E37">
        <w:rPr>
          <w:rFonts w:ascii="Times New Roman" w:hAnsi="Times New Roman" w:cs="Times New Roman"/>
          <w:sz w:val="24"/>
          <w:szCs w:val="24"/>
        </w:rPr>
        <w:t>e</w:t>
      </w:r>
      <w:r w:rsidR="004D495B" w:rsidRPr="004A6E37">
        <w:rPr>
          <w:rFonts w:ascii="Times New Roman" w:hAnsi="Times New Roman" w:cs="Times New Roman"/>
          <w:sz w:val="24"/>
          <w:szCs w:val="24"/>
        </w:rPr>
        <w:t>t de financement du terrorisme.</w:t>
      </w:r>
      <w:r w:rsidRPr="004A6E37">
        <w:rPr>
          <w:rFonts w:ascii="Times New Roman" w:hAnsi="Times New Roman" w:cs="Times New Roman"/>
          <w:sz w:val="24"/>
          <w:szCs w:val="24"/>
        </w:rPr>
        <w:t xml:space="preserve"> </w:t>
      </w:r>
      <w:r w:rsidR="002E2BE8" w:rsidRPr="004A6E37">
        <w:rPr>
          <w:rFonts w:ascii="Times New Roman" w:hAnsi="Times New Roman" w:cs="Times New Roman"/>
          <w:sz w:val="24"/>
          <w:szCs w:val="24"/>
        </w:rPr>
        <w:t xml:space="preserve">Pour ce faire, l’équipe a procédé à un inventaire </w:t>
      </w:r>
      <w:r w:rsidR="007E16FA" w:rsidRPr="004A6E37">
        <w:rPr>
          <w:rFonts w:ascii="Times New Roman" w:hAnsi="Times New Roman" w:cs="Times New Roman"/>
          <w:sz w:val="24"/>
          <w:szCs w:val="24"/>
        </w:rPr>
        <w:t>d</w:t>
      </w:r>
      <w:r w:rsidR="002E2BE8" w:rsidRPr="004A6E37">
        <w:rPr>
          <w:rFonts w:ascii="Times New Roman" w:hAnsi="Times New Roman" w:cs="Times New Roman"/>
          <w:sz w:val="24"/>
          <w:szCs w:val="24"/>
        </w:rPr>
        <w:t>es analyses nationales ayant pour</w:t>
      </w:r>
      <w:r w:rsidR="00D41FAF" w:rsidRPr="004A6E37">
        <w:rPr>
          <w:rFonts w:ascii="Times New Roman" w:hAnsi="Times New Roman" w:cs="Times New Roman"/>
          <w:sz w:val="24"/>
          <w:szCs w:val="24"/>
        </w:rPr>
        <w:t xml:space="preserve"> objet la menace de blanchiment</w:t>
      </w:r>
      <w:r w:rsidR="002E2BE8" w:rsidRPr="004A6E37">
        <w:rPr>
          <w:rFonts w:ascii="Times New Roman" w:hAnsi="Times New Roman" w:cs="Times New Roman"/>
          <w:sz w:val="24"/>
          <w:szCs w:val="24"/>
        </w:rPr>
        <w:t xml:space="preserve"> </w:t>
      </w:r>
      <w:r w:rsidR="00CA56D8" w:rsidRPr="004A6E37">
        <w:rPr>
          <w:rFonts w:ascii="Times New Roman" w:hAnsi="Times New Roman" w:cs="Times New Roman"/>
          <w:sz w:val="24"/>
          <w:szCs w:val="24"/>
        </w:rPr>
        <w:t xml:space="preserve">de capitaux </w:t>
      </w:r>
      <w:r w:rsidR="002E2BE8" w:rsidRPr="004A6E37">
        <w:rPr>
          <w:rFonts w:ascii="Times New Roman" w:hAnsi="Times New Roman" w:cs="Times New Roman"/>
          <w:sz w:val="24"/>
          <w:szCs w:val="24"/>
        </w:rPr>
        <w:t>et de financement du terrorisme au Mali</w:t>
      </w:r>
      <w:r w:rsidRPr="004A6E37">
        <w:rPr>
          <w:rFonts w:ascii="Times New Roman" w:hAnsi="Times New Roman" w:cs="Times New Roman"/>
          <w:sz w:val="24"/>
          <w:szCs w:val="24"/>
        </w:rPr>
        <w:t>.</w:t>
      </w:r>
      <w:r w:rsidR="007E16FA" w:rsidRPr="004A6E37">
        <w:rPr>
          <w:rFonts w:ascii="Times New Roman" w:hAnsi="Times New Roman" w:cs="Times New Roman"/>
          <w:sz w:val="24"/>
          <w:szCs w:val="24"/>
        </w:rPr>
        <w:t xml:space="preserve"> L</w:t>
      </w:r>
      <w:r w:rsidR="002E2BE8" w:rsidRPr="004A6E37">
        <w:rPr>
          <w:rFonts w:ascii="Times New Roman" w:hAnsi="Times New Roman" w:cs="Times New Roman"/>
          <w:sz w:val="24"/>
          <w:szCs w:val="24"/>
        </w:rPr>
        <w:t xml:space="preserve">e groupe de travail s’est appuyé sur les nombreux travaux préexistants permettant d’identifier les menaces et les risques auxquels le Mali est confronté, notamment : </w:t>
      </w:r>
    </w:p>
    <w:p w14:paraId="41AF3B3E" w14:textId="77777777" w:rsidR="007E16FA" w:rsidRPr="00E16AEC" w:rsidRDefault="007E16FA" w:rsidP="00920BFE">
      <w:pPr>
        <w:pStyle w:val="Paragraphedeliste"/>
        <w:numPr>
          <w:ilvl w:val="0"/>
          <w:numId w:val="10"/>
        </w:numPr>
        <w:spacing w:line="360" w:lineRule="auto"/>
        <w:jc w:val="both"/>
        <w:rPr>
          <w:rFonts w:ascii="Times New Roman" w:hAnsi="Times New Roman" w:cs="Times New Roman"/>
          <w:sz w:val="24"/>
          <w:szCs w:val="24"/>
        </w:rPr>
      </w:pPr>
      <w:r w:rsidRPr="00E16AEC">
        <w:rPr>
          <w:rFonts w:ascii="Times New Roman" w:hAnsi="Times New Roman" w:cs="Times New Roman"/>
          <w:sz w:val="24"/>
          <w:szCs w:val="24"/>
        </w:rPr>
        <w:t>les recommandations du GAFI ;</w:t>
      </w:r>
      <w:r w:rsidR="002E2BE8" w:rsidRPr="00E16AEC">
        <w:rPr>
          <w:rFonts w:ascii="Times New Roman" w:hAnsi="Times New Roman" w:cs="Times New Roman"/>
          <w:sz w:val="24"/>
          <w:szCs w:val="24"/>
        </w:rPr>
        <w:t xml:space="preserve"> </w:t>
      </w:r>
    </w:p>
    <w:p w14:paraId="7A808413" w14:textId="77777777" w:rsidR="007E16FA" w:rsidRPr="00E16AEC" w:rsidRDefault="002E2BE8" w:rsidP="00920BFE">
      <w:pPr>
        <w:pStyle w:val="Paragraphedeliste"/>
        <w:numPr>
          <w:ilvl w:val="0"/>
          <w:numId w:val="10"/>
        </w:numPr>
        <w:spacing w:line="360" w:lineRule="auto"/>
        <w:jc w:val="both"/>
        <w:rPr>
          <w:rFonts w:ascii="Times New Roman" w:hAnsi="Times New Roman" w:cs="Times New Roman"/>
          <w:sz w:val="24"/>
          <w:szCs w:val="24"/>
        </w:rPr>
      </w:pPr>
      <w:r w:rsidRPr="00E16AEC">
        <w:rPr>
          <w:rFonts w:ascii="Times New Roman" w:hAnsi="Times New Roman" w:cs="Times New Roman"/>
          <w:sz w:val="24"/>
          <w:szCs w:val="24"/>
        </w:rPr>
        <w:t>les rapports et études de la Cellule Nationale de Traitement des In</w:t>
      </w:r>
      <w:r w:rsidR="007E16FA" w:rsidRPr="00E16AEC">
        <w:rPr>
          <w:rFonts w:ascii="Times New Roman" w:hAnsi="Times New Roman" w:cs="Times New Roman"/>
          <w:sz w:val="24"/>
          <w:szCs w:val="24"/>
        </w:rPr>
        <w:t>formations financières (CENTIF) ;</w:t>
      </w:r>
    </w:p>
    <w:p w14:paraId="2F57C2D7" w14:textId="77777777" w:rsidR="007E16FA" w:rsidRPr="00E16AEC" w:rsidRDefault="002E2BE8" w:rsidP="00920BFE">
      <w:pPr>
        <w:pStyle w:val="Paragraphedeliste"/>
        <w:numPr>
          <w:ilvl w:val="0"/>
          <w:numId w:val="10"/>
        </w:numPr>
        <w:spacing w:line="360" w:lineRule="auto"/>
        <w:jc w:val="both"/>
        <w:rPr>
          <w:rFonts w:ascii="Times New Roman" w:hAnsi="Times New Roman" w:cs="Times New Roman"/>
          <w:sz w:val="24"/>
          <w:szCs w:val="24"/>
        </w:rPr>
      </w:pPr>
      <w:r w:rsidRPr="00E16AEC">
        <w:rPr>
          <w:rFonts w:ascii="Times New Roman" w:hAnsi="Times New Roman" w:cs="Times New Roman"/>
          <w:sz w:val="24"/>
          <w:szCs w:val="24"/>
        </w:rPr>
        <w:t>l’Evaluation Nationale des Risques (ENR)</w:t>
      </w:r>
      <w:r w:rsidR="007E16FA" w:rsidRPr="00E16AEC">
        <w:rPr>
          <w:rFonts w:ascii="Times New Roman" w:hAnsi="Times New Roman" w:cs="Times New Roman"/>
          <w:sz w:val="24"/>
          <w:szCs w:val="24"/>
        </w:rPr>
        <w:t xml:space="preserve"> et son plan d’actions ;</w:t>
      </w:r>
    </w:p>
    <w:p w14:paraId="54DA8859" w14:textId="77777777" w:rsidR="00506076" w:rsidRPr="00E16AEC" w:rsidRDefault="002E2BE8" w:rsidP="00920BFE">
      <w:pPr>
        <w:pStyle w:val="Paragraphedeliste"/>
        <w:numPr>
          <w:ilvl w:val="0"/>
          <w:numId w:val="10"/>
        </w:numPr>
        <w:spacing w:line="360" w:lineRule="auto"/>
        <w:jc w:val="both"/>
        <w:rPr>
          <w:rFonts w:ascii="Times New Roman" w:hAnsi="Times New Roman" w:cs="Times New Roman"/>
          <w:sz w:val="24"/>
          <w:szCs w:val="24"/>
        </w:rPr>
      </w:pPr>
      <w:r w:rsidRPr="00E16AEC">
        <w:rPr>
          <w:rFonts w:ascii="Times New Roman" w:hAnsi="Times New Roman" w:cs="Times New Roman"/>
          <w:sz w:val="24"/>
          <w:szCs w:val="24"/>
        </w:rPr>
        <w:t xml:space="preserve">le rapport intitulé </w:t>
      </w:r>
      <w:r w:rsidRPr="00E16AEC">
        <w:rPr>
          <w:rFonts w:ascii="Times New Roman" w:hAnsi="Times New Roman" w:cs="Times New Roman"/>
          <w:b/>
          <w:sz w:val="24"/>
          <w:szCs w:val="24"/>
        </w:rPr>
        <w:t>« REM-Mali 2019 »</w:t>
      </w:r>
      <w:r w:rsidRPr="00E16AEC">
        <w:rPr>
          <w:rFonts w:ascii="Times New Roman" w:hAnsi="Times New Roman" w:cs="Times New Roman"/>
          <w:sz w:val="24"/>
          <w:szCs w:val="24"/>
        </w:rPr>
        <w:t xml:space="preserve"> </w:t>
      </w:r>
      <w:r w:rsidR="007E16FA" w:rsidRPr="00E16AEC">
        <w:rPr>
          <w:rFonts w:ascii="Times New Roman" w:hAnsi="Times New Roman" w:cs="Times New Roman"/>
          <w:sz w:val="24"/>
          <w:szCs w:val="24"/>
        </w:rPr>
        <w:t xml:space="preserve">adopté par la </w:t>
      </w:r>
      <w:r w:rsidRPr="00E16AEC">
        <w:rPr>
          <w:rFonts w:ascii="Times New Roman" w:hAnsi="Times New Roman" w:cs="Times New Roman"/>
          <w:sz w:val="24"/>
          <w:szCs w:val="24"/>
        </w:rPr>
        <w:t xml:space="preserve">plénière </w:t>
      </w:r>
      <w:r w:rsidR="007E16FA" w:rsidRPr="00E16AEC">
        <w:rPr>
          <w:rFonts w:ascii="Times New Roman" w:hAnsi="Times New Roman" w:cs="Times New Roman"/>
          <w:sz w:val="24"/>
          <w:szCs w:val="24"/>
        </w:rPr>
        <w:t>en</w:t>
      </w:r>
      <w:r w:rsidRPr="00E16AEC">
        <w:rPr>
          <w:rFonts w:ascii="Times New Roman" w:hAnsi="Times New Roman" w:cs="Times New Roman"/>
          <w:sz w:val="24"/>
          <w:szCs w:val="24"/>
        </w:rPr>
        <w:t xml:space="preserve"> novembre 2019 à Dakar</w:t>
      </w:r>
      <w:r w:rsidR="007E16FA" w:rsidRPr="00E16AEC">
        <w:rPr>
          <w:rFonts w:ascii="Times New Roman" w:hAnsi="Times New Roman" w:cs="Times New Roman"/>
          <w:sz w:val="24"/>
          <w:szCs w:val="24"/>
        </w:rPr>
        <w:t>.</w:t>
      </w:r>
    </w:p>
    <w:p w14:paraId="5EAD9ACB" w14:textId="77777777" w:rsidR="00506076" w:rsidRPr="004A6E37" w:rsidRDefault="00506076" w:rsidP="00F962CE">
      <w:pPr>
        <w:spacing w:before="120" w:after="0" w:line="360" w:lineRule="auto"/>
        <w:jc w:val="both"/>
        <w:rPr>
          <w:rFonts w:ascii="Times New Roman" w:eastAsia="Times New Roman" w:hAnsi="Times New Roman" w:cs="Times New Roman"/>
          <w:sz w:val="24"/>
          <w:szCs w:val="24"/>
          <w:lang w:eastAsia="fr-FR"/>
        </w:rPr>
      </w:pPr>
      <w:bookmarkStart w:id="7" w:name="_Toc421774398"/>
      <w:bookmarkStart w:id="8" w:name="_Hlk84764413"/>
      <w:r w:rsidRPr="004A6E37">
        <w:rPr>
          <w:rFonts w:ascii="Times New Roman" w:eastAsia="Times New Roman" w:hAnsi="Times New Roman" w:cs="Times New Roman"/>
          <w:sz w:val="24"/>
          <w:szCs w:val="24"/>
          <w:lang w:eastAsia="fr-FR"/>
        </w:rPr>
        <w:t xml:space="preserve">La méthodologie d’évaluation utilisée est l’approche de la Banque Mondiale. Elle implique l’analyse des menaces et des vulnérabilités par </w:t>
      </w:r>
      <w:r w:rsidR="004C2793" w:rsidRPr="004A6E37">
        <w:rPr>
          <w:rFonts w:ascii="Times New Roman" w:eastAsia="Times New Roman" w:hAnsi="Times New Roman" w:cs="Times New Roman"/>
          <w:sz w:val="24"/>
          <w:szCs w:val="24"/>
          <w:lang w:eastAsia="fr-FR"/>
        </w:rPr>
        <w:t>type d’identité</w:t>
      </w:r>
      <w:r w:rsidRPr="004A6E37">
        <w:rPr>
          <w:rFonts w:ascii="Times New Roman" w:eastAsia="Times New Roman" w:hAnsi="Times New Roman" w:cs="Times New Roman"/>
          <w:sz w:val="24"/>
          <w:szCs w:val="24"/>
          <w:lang w:eastAsia="fr-FR"/>
        </w:rPr>
        <w:t xml:space="preserve"> afin de construire une image globale des risques de BC/FT auquel les </w:t>
      </w:r>
      <w:r w:rsidR="004C2793" w:rsidRPr="004A6E37">
        <w:rPr>
          <w:rFonts w:ascii="Times New Roman" w:eastAsia="Times New Roman" w:hAnsi="Times New Roman" w:cs="Times New Roman"/>
          <w:sz w:val="24"/>
          <w:szCs w:val="24"/>
          <w:lang w:eastAsia="fr-FR"/>
        </w:rPr>
        <w:t>personnes morales</w:t>
      </w:r>
      <w:r w:rsidRPr="004A6E37">
        <w:rPr>
          <w:rFonts w:ascii="Times New Roman" w:eastAsia="Times New Roman" w:hAnsi="Times New Roman" w:cs="Times New Roman"/>
          <w:sz w:val="24"/>
          <w:szCs w:val="24"/>
          <w:lang w:eastAsia="fr-FR"/>
        </w:rPr>
        <w:t xml:space="preserve"> font face.</w:t>
      </w:r>
    </w:p>
    <w:p w14:paraId="45183D21" w14:textId="77777777" w:rsidR="00506076" w:rsidRPr="004A6E37" w:rsidRDefault="00506076" w:rsidP="00F962CE">
      <w:pPr>
        <w:spacing w:before="120" w:after="0" w:line="360" w:lineRule="auto"/>
        <w:jc w:val="both"/>
        <w:rPr>
          <w:rFonts w:ascii="Times New Roman" w:hAnsi="Times New Roman" w:cs="Times New Roman"/>
          <w:sz w:val="24"/>
          <w:szCs w:val="24"/>
        </w:rPr>
      </w:pPr>
      <w:r w:rsidRPr="004A6E37">
        <w:rPr>
          <w:rFonts w:ascii="Times New Roman" w:eastAsia="Times New Roman" w:hAnsi="Times New Roman" w:cs="Times New Roman"/>
          <w:sz w:val="24"/>
          <w:szCs w:val="24"/>
          <w:lang w:eastAsia="fr-FR"/>
        </w:rPr>
        <w:t>Pour l’atteinte de nos objectifs, notre</w:t>
      </w:r>
      <w:r w:rsidRPr="004A6E37">
        <w:rPr>
          <w:rFonts w:ascii="Times New Roman" w:hAnsi="Times New Roman" w:cs="Times New Roman"/>
          <w:sz w:val="24"/>
          <w:szCs w:val="24"/>
        </w:rPr>
        <w:t xml:space="preserve"> démarche fut basée sur : </w:t>
      </w:r>
    </w:p>
    <w:p w14:paraId="4DEDFD98" w14:textId="77777777" w:rsidR="00506076" w:rsidRPr="00E16AEC" w:rsidRDefault="00506076" w:rsidP="00920BFE">
      <w:pPr>
        <w:pStyle w:val="Paragraphedeliste"/>
        <w:numPr>
          <w:ilvl w:val="0"/>
          <w:numId w:val="35"/>
        </w:numPr>
        <w:spacing w:before="120" w:after="0" w:line="360" w:lineRule="auto"/>
        <w:jc w:val="both"/>
        <w:rPr>
          <w:rFonts w:ascii="Times New Roman" w:hAnsi="Times New Roman" w:cs="Times New Roman"/>
          <w:sz w:val="24"/>
          <w:szCs w:val="24"/>
        </w:rPr>
      </w:pPr>
      <w:r w:rsidRPr="00E16AEC">
        <w:rPr>
          <w:rFonts w:ascii="Times New Roman" w:hAnsi="Times New Roman" w:cs="Times New Roman"/>
          <w:sz w:val="24"/>
          <w:szCs w:val="24"/>
        </w:rPr>
        <w:t>le respect des Termes de Références s’y rattachant et une planification de l’étude en phases ;</w:t>
      </w:r>
    </w:p>
    <w:p w14:paraId="3E268B8F" w14:textId="77777777" w:rsidR="00506076" w:rsidRPr="00E16AEC" w:rsidRDefault="00506076" w:rsidP="00920BFE">
      <w:pPr>
        <w:pStyle w:val="Paragraphedeliste"/>
        <w:widowControl w:val="0"/>
        <w:numPr>
          <w:ilvl w:val="0"/>
          <w:numId w:val="35"/>
        </w:numPr>
        <w:autoSpaceDE w:val="0"/>
        <w:autoSpaceDN w:val="0"/>
        <w:adjustRightInd w:val="0"/>
        <w:spacing w:before="120" w:after="0" w:line="360" w:lineRule="auto"/>
        <w:jc w:val="both"/>
        <w:rPr>
          <w:rFonts w:ascii="Times New Roman" w:hAnsi="Times New Roman" w:cs="Times New Roman"/>
          <w:sz w:val="24"/>
          <w:szCs w:val="24"/>
        </w:rPr>
      </w:pPr>
      <w:r w:rsidRPr="00E16AEC">
        <w:rPr>
          <w:rFonts w:ascii="Times New Roman" w:hAnsi="Times New Roman" w:cs="Times New Roman"/>
          <w:sz w:val="24"/>
          <w:szCs w:val="24"/>
        </w:rPr>
        <w:t>l’approche scientifique appliquant les principes et les outils de la recherche action ;</w:t>
      </w:r>
    </w:p>
    <w:p w14:paraId="67C4B088" w14:textId="77777777" w:rsidR="00506076" w:rsidRPr="00E16AEC" w:rsidRDefault="00506076" w:rsidP="00920BFE">
      <w:pPr>
        <w:pStyle w:val="Paragraphedeliste"/>
        <w:widowControl w:val="0"/>
        <w:numPr>
          <w:ilvl w:val="0"/>
          <w:numId w:val="35"/>
        </w:numPr>
        <w:autoSpaceDE w:val="0"/>
        <w:autoSpaceDN w:val="0"/>
        <w:adjustRightInd w:val="0"/>
        <w:spacing w:before="120" w:after="0" w:line="360" w:lineRule="auto"/>
        <w:jc w:val="both"/>
        <w:rPr>
          <w:rFonts w:ascii="Times New Roman" w:hAnsi="Times New Roman" w:cs="Times New Roman"/>
          <w:sz w:val="24"/>
          <w:szCs w:val="24"/>
        </w:rPr>
      </w:pPr>
      <w:r w:rsidRPr="00E16AEC">
        <w:rPr>
          <w:rFonts w:ascii="Times New Roman" w:hAnsi="Times New Roman" w:cs="Times New Roman"/>
          <w:sz w:val="24"/>
          <w:szCs w:val="24"/>
        </w:rPr>
        <w:t>l’approche participative en vue d’une création collective impliquant une plus grande majorité des acteurs concernés par l’Etude.</w:t>
      </w:r>
    </w:p>
    <w:p w14:paraId="7FB54B76" w14:textId="77777777" w:rsidR="00506076" w:rsidRPr="004A6E37" w:rsidRDefault="00506076" w:rsidP="00920BFE">
      <w:pPr>
        <w:pStyle w:val="Paragraphedeliste"/>
        <w:numPr>
          <w:ilvl w:val="0"/>
          <w:numId w:val="12"/>
        </w:numPr>
        <w:spacing w:before="120" w:after="0" w:line="360" w:lineRule="auto"/>
        <w:contextualSpacing w:val="0"/>
        <w:jc w:val="both"/>
        <w:rPr>
          <w:rFonts w:ascii="Times New Roman" w:hAnsi="Times New Roman" w:cs="Times New Roman"/>
          <w:b/>
          <w:sz w:val="24"/>
          <w:szCs w:val="24"/>
          <w:u w:val="single"/>
        </w:rPr>
      </w:pPr>
      <w:r w:rsidRPr="004A6E37">
        <w:rPr>
          <w:rFonts w:ascii="Times New Roman" w:hAnsi="Times New Roman" w:cs="Times New Roman"/>
          <w:b/>
          <w:sz w:val="24"/>
          <w:szCs w:val="24"/>
          <w:u w:val="single"/>
        </w:rPr>
        <w:t xml:space="preserve">Phase 1 : </w:t>
      </w:r>
      <w:r w:rsidRPr="004A6E37">
        <w:rPr>
          <w:rFonts w:ascii="Times New Roman" w:hAnsi="Times New Roman" w:cs="Times New Roman"/>
          <w:b/>
          <w:sz w:val="24"/>
          <w:szCs w:val="24"/>
        </w:rPr>
        <w:t>Préparatoire</w:t>
      </w:r>
    </w:p>
    <w:bookmarkEnd w:id="7"/>
    <w:p w14:paraId="691CE9F2" w14:textId="77777777" w:rsidR="00506076" w:rsidRPr="004A6E37" w:rsidRDefault="00442E81" w:rsidP="00920BFE">
      <w:pPr>
        <w:pStyle w:val="Paragraphedeliste"/>
        <w:numPr>
          <w:ilvl w:val="0"/>
          <w:numId w:val="13"/>
        </w:numPr>
        <w:spacing w:before="120" w:after="0" w:line="360" w:lineRule="auto"/>
        <w:jc w:val="both"/>
        <w:rPr>
          <w:rFonts w:ascii="Times New Roman" w:eastAsia="Calibri" w:hAnsi="Times New Roman" w:cs="Times New Roman"/>
          <w:b/>
          <w:bCs/>
          <w:sz w:val="24"/>
          <w:szCs w:val="24"/>
        </w:rPr>
      </w:pPr>
      <w:r w:rsidRPr="004A6E37">
        <w:rPr>
          <w:rFonts w:ascii="Times New Roman" w:eastAsia="Calibri" w:hAnsi="Times New Roman" w:cs="Times New Roman"/>
          <w:b/>
          <w:bCs/>
          <w:sz w:val="24"/>
          <w:szCs w:val="24"/>
        </w:rPr>
        <w:t>La réunion</w:t>
      </w:r>
      <w:r w:rsidR="00506076" w:rsidRPr="004A6E37">
        <w:rPr>
          <w:rFonts w:ascii="Times New Roman" w:eastAsia="Calibri" w:hAnsi="Times New Roman" w:cs="Times New Roman"/>
          <w:b/>
          <w:bCs/>
          <w:sz w:val="24"/>
          <w:szCs w:val="24"/>
        </w:rPr>
        <w:t xml:space="preserve"> de cadrage </w:t>
      </w:r>
    </w:p>
    <w:p w14:paraId="1547E154" w14:textId="77777777" w:rsidR="00506076" w:rsidRPr="004A6E37" w:rsidRDefault="00506076" w:rsidP="00230FDB">
      <w:pPr>
        <w:spacing w:before="120" w:after="0" w:line="36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Une rencontre de cadrage a eu lieu dans les locaux de la CENTIF. Elle a regroupé le groupe de travail constitué par la CENTIF et les experts du Cabinet retenu pour l’étude conformément aux dispositions des termes de référence (TDR).</w:t>
      </w:r>
    </w:p>
    <w:p w14:paraId="019C0306" w14:textId="77777777" w:rsidR="00506076" w:rsidRPr="004A6E37" w:rsidRDefault="00506076" w:rsidP="00230FDB">
      <w:pPr>
        <w:spacing w:before="120" w:after="0" w:line="360" w:lineRule="auto"/>
        <w:jc w:val="both"/>
        <w:rPr>
          <w:rFonts w:ascii="Times New Roman" w:eastAsia="Calibri" w:hAnsi="Times New Roman" w:cs="Times New Roman"/>
          <w:sz w:val="24"/>
          <w:szCs w:val="24"/>
        </w:rPr>
      </w:pPr>
      <w:r w:rsidRPr="004A6E37">
        <w:rPr>
          <w:rFonts w:ascii="Times New Roman" w:eastAsia="Times New Roman" w:hAnsi="Times New Roman" w:cs="Times New Roman"/>
          <w:sz w:val="24"/>
          <w:szCs w:val="24"/>
          <w:lang w:eastAsia="fr-FR"/>
        </w:rPr>
        <w:t>La rencontre</w:t>
      </w:r>
      <w:r w:rsidRPr="004A6E37">
        <w:rPr>
          <w:rFonts w:ascii="Times New Roman" w:eastAsia="Calibri" w:hAnsi="Times New Roman" w:cs="Times New Roman"/>
          <w:sz w:val="24"/>
          <w:szCs w:val="24"/>
        </w:rPr>
        <w:t xml:space="preserve"> de cadrage a </w:t>
      </w:r>
      <w:r w:rsidR="002B7037" w:rsidRPr="004A6E37">
        <w:rPr>
          <w:rFonts w:ascii="Times New Roman" w:eastAsia="Calibri" w:hAnsi="Times New Roman" w:cs="Times New Roman"/>
          <w:sz w:val="24"/>
          <w:szCs w:val="24"/>
        </w:rPr>
        <w:t xml:space="preserve">eu </w:t>
      </w:r>
      <w:r w:rsidRPr="004A6E37">
        <w:rPr>
          <w:rFonts w:ascii="Times New Roman" w:eastAsia="Calibri" w:hAnsi="Times New Roman" w:cs="Times New Roman"/>
          <w:sz w:val="24"/>
          <w:szCs w:val="24"/>
        </w:rPr>
        <w:t xml:space="preserve">pour but de : </w:t>
      </w:r>
    </w:p>
    <w:p w14:paraId="592CB6CC" w14:textId="77777777" w:rsidR="00506076" w:rsidRPr="000E20CD" w:rsidRDefault="00506076" w:rsidP="00920BFE">
      <w:pPr>
        <w:pStyle w:val="Paragraphedeliste"/>
        <w:numPr>
          <w:ilvl w:val="0"/>
          <w:numId w:val="36"/>
        </w:numPr>
        <w:tabs>
          <w:tab w:val="left" w:pos="1068"/>
        </w:tabs>
        <w:spacing w:before="120" w:after="0" w:line="360" w:lineRule="auto"/>
        <w:jc w:val="both"/>
        <w:rPr>
          <w:rFonts w:ascii="Times New Roman" w:eastAsia="Calibri" w:hAnsi="Times New Roman" w:cs="Times New Roman"/>
          <w:bCs/>
          <w:sz w:val="24"/>
          <w:szCs w:val="24"/>
        </w:rPr>
      </w:pPr>
      <w:r w:rsidRPr="000E20CD">
        <w:rPr>
          <w:rFonts w:ascii="Times New Roman" w:eastAsia="Calibri" w:hAnsi="Times New Roman" w:cs="Times New Roman"/>
          <w:sz w:val="24"/>
          <w:szCs w:val="24"/>
        </w:rPr>
        <w:t xml:space="preserve">avoir une </w:t>
      </w:r>
      <w:r w:rsidRPr="000E20CD">
        <w:rPr>
          <w:rFonts w:ascii="Times New Roman" w:eastAsia="Calibri" w:hAnsi="Times New Roman" w:cs="Times New Roman"/>
          <w:bCs/>
          <w:iCs/>
          <w:sz w:val="24"/>
          <w:szCs w:val="24"/>
        </w:rPr>
        <w:t xml:space="preserve">compréhension </w:t>
      </w:r>
      <w:r w:rsidRPr="000E20CD">
        <w:rPr>
          <w:rFonts w:ascii="Times New Roman" w:eastAsia="Batang" w:hAnsi="Times New Roman" w:cs="Times New Roman"/>
          <w:bCs/>
          <w:sz w:val="24"/>
          <w:szCs w:val="24"/>
        </w:rPr>
        <w:t xml:space="preserve">commune </w:t>
      </w:r>
      <w:r w:rsidRPr="000E20CD">
        <w:rPr>
          <w:rFonts w:ascii="Times New Roman" w:eastAsia="Calibri" w:hAnsi="Times New Roman" w:cs="Times New Roman"/>
          <w:bCs/>
          <w:iCs/>
          <w:sz w:val="24"/>
          <w:szCs w:val="24"/>
        </w:rPr>
        <w:t>des termes de référence ;</w:t>
      </w:r>
    </w:p>
    <w:p w14:paraId="236DA41A" w14:textId="77777777" w:rsidR="00506076" w:rsidRPr="000E20CD" w:rsidRDefault="00506076" w:rsidP="00920BFE">
      <w:pPr>
        <w:pStyle w:val="Paragraphedeliste"/>
        <w:numPr>
          <w:ilvl w:val="0"/>
          <w:numId w:val="36"/>
        </w:numPr>
        <w:tabs>
          <w:tab w:val="left" w:pos="1068"/>
        </w:tabs>
        <w:spacing w:before="120" w:after="0" w:line="360" w:lineRule="auto"/>
        <w:jc w:val="both"/>
        <w:rPr>
          <w:rFonts w:ascii="Times New Roman" w:eastAsia="Calibri" w:hAnsi="Times New Roman" w:cs="Times New Roman"/>
          <w:bCs/>
          <w:sz w:val="24"/>
          <w:szCs w:val="24"/>
        </w:rPr>
      </w:pPr>
      <w:r w:rsidRPr="000E20CD">
        <w:rPr>
          <w:rFonts w:ascii="Times New Roman" w:eastAsia="Calibri" w:hAnsi="Times New Roman" w:cs="Times New Roman"/>
          <w:bCs/>
          <w:iCs/>
          <w:sz w:val="24"/>
          <w:szCs w:val="24"/>
        </w:rPr>
        <w:lastRenderedPageBreak/>
        <w:t>partager la méthodologie à mettre en œuvre ;</w:t>
      </w:r>
    </w:p>
    <w:p w14:paraId="403D3F47" w14:textId="77777777" w:rsidR="00506076" w:rsidRPr="000E20CD" w:rsidRDefault="00506076" w:rsidP="00920BFE">
      <w:pPr>
        <w:pStyle w:val="Paragraphedeliste"/>
        <w:numPr>
          <w:ilvl w:val="0"/>
          <w:numId w:val="36"/>
        </w:numPr>
        <w:tabs>
          <w:tab w:val="left" w:pos="1068"/>
        </w:tabs>
        <w:spacing w:before="120" w:after="0" w:line="360" w:lineRule="auto"/>
        <w:jc w:val="both"/>
        <w:rPr>
          <w:rFonts w:ascii="Times New Roman" w:eastAsia="Calibri" w:hAnsi="Times New Roman" w:cs="Times New Roman"/>
          <w:bCs/>
          <w:sz w:val="24"/>
          <w:szCs w:val="24"/>
        </w:rPr>
      </w:pPr>
      <w:r w:rsidRPr="000E20CD">
        <w:rPr>
          <w:rFonts w:ascii="Times New Roman" w:eastAsia="Calibri" w:hAnsi="Times New Roman" w:cs="Times New Roman"/>
          <w:bCs/>
          <w:iCs/>
          <w:sz w:val="24"/>
          <w:szCs w:val="24"/>
        </w:rPr>
        <w:t>présenter le calendrier d’exécution de l’étude ;</w:t>
      </w:r>
    </w:p>
    <w:p w14:paraId="08B16BBA" w14:textId="77777777" w:rsidR="00506076" w:rsidRPr="000E20CD" w:rsidRDefault="00506076" w:rsidP="00920BFE">
      <w:pPr>
        <w:pStyle w:val="Paragraphedeliste"/>
        <w:numPr>
          <w:ilvl w:val="0"/>
          <w:numId w:val="36"/>
        </w:numPr>
        <w:tabs>
          <w:tab w:val="left" w:pos="1068"/>
        </w:tabs>
        <w:spacing w:before="120" w:after="0" w:line="360" w:lineRule="auto"/>
        <w:jc w:val="both"/>
        <w:rPr>
          <w:rFonts w:ascii="Times New Roman" w:eastAsia="Calibri" w:hAnsi="Times New Roman" w:cs="Times New Roman"/>
          <w:bCs/>
          <w:sz w:val="24"/>
          <w:szCs w:val="24"/>
        </w:rPr>
      </w:pPr>
      <w:r w:rsidRPr="000E20CD">
        <w:rPr>
          <w:rFonts w:ascii="Times New Roman" w:eastAsia="Calibri" w:hAnsi="Times New Roman" w:cs="Times New Roman"/>
          <w:bCs/>
          <w:iCs/>
          <w:sz w:val="24"/>
          <w:szCs w:val="24"/>
        </w:rPr>
        <w:t xml:space="preserve">demander les documents requis pour la mission. </w:t>
      </w:r>
    </w:p>
    <w:p w14:paraId="197E6563" w14:textId="77777777" w:rsidR="00506076" w:rsidRPr="004A6E37" w:rsidRDefault="00506076" w:rsidP="00230FDB">
      <w:pPr>
        <w:spacing w:before="120" w:after="0" w:line="360" w:lineRule="auto"/>
        <w:jc w:val="both"/>
        <w:rPr>
          <w:rFonts w:ascii="Times New Roman" w:eastAsia="Calibri" w:hAnsi="Times New Roman" w:cs="Times New Roman"/>
          <w:bCs/>
          <w:sz w:val="24"/>
          <w:szCs w:val="24"/>
        </w:rPr>
      </w:pPr>
      <w:r w:rsidRPr="004A6E37">
        <w:rPr>
          <w:rFonts w:ascii="Times New Roman" w:eastAsia="Calibri" w:hAnsi="Times New Roman" w:cs="Times New Roman"/>
          <w:sz w:val="24"/>
          <w:szCs w:val="24"/>
        </w:rPr>
        <w:t>A l’issue de cette réunion, le Cabinet a pris note des attentes du commanditaire de l’étude pour un meilleur cadrage de la mission, notamment de son déroulement,</w:t>
      </w:r>
      <w:r w:rsidRPr="004A6E37">
        <w:rPr>
          <w:rFonts w:ascii="Times New Roman" w:eastAsia="Calibri" w:hAnsi="Times New Roman" w:cs="Times New Roman"/>
          <w:bCs/>
          <w:sz w:val="24"/>
          <w:szCs w:val="24"/>
        </w:rPr>
        <w:t xml:space="preserve"> </w:t>
      </w:r>
      <w:r w:rsidR="00263D37" w:rsidRPr="004A6E37">
        <w:rPr>
          <w:rFonts w:ascii="Times New Roman" w:eastAsia="Calibri" w:hAnsi="Times New Roman" w:cs="Times New Roman"/>
          <w:bCs/>
          <w:sz w:val="24"/>
          <w:szCs w:val="24"/>
        </w:rPr>
        <w:t xml:space="preserve">de la  méthodologie adoptée et </w:t>
      </w:r>
      <w:r w:rsidRPr="004A6E37">
        <w:rPr>
          <w:rFonts w:ascii="Times New Roman" w:eastAsia="Calibri" w:hAnsi="Times New Roman" w:cs="Times New Roman"/>
          <w:bCs/>
          <w:sz w:val="24"/>
          <w:szCs w:val="24"/>
        </w:rPr>
        <w:t xml:space="preserve">de l’identification précise des entités et organismes à consulter. </w:t>
      </w:r>
    </w:p>
    <w:p w14:paraId="21043DE4" w14:textId="77777777" w:rsidR="00506076" w:rsidRPr="004A6E37" w:rsidRDefault="00506076" w:rsidP="00920BFE">
      <w:pPr>
        <w:pStyle w:val="Paragraphedeliste"/>
        <w:numPr>
          <w:ilvl w:val="0"/>
          <w:numId w:val="13"/>
        </w:numPr>
        <w:spacing w:before="120" w:after="0" w:line="360" w:lineRule="auto"/>
        <w:jc w:val="both"/>
        <w:rPr>
          <w:rFonts w:ascii="Times New Roman" w:eastAsia="Calibri" w:hAnsi="Times New Roman" w:cs="Times New Roman"/>
          <w:b/>
          <w:sz w:val="24"/>
          <w:szCs w:val="24"/>
        </w:rPr>
      </w:pPr>
      <w:r w:rsidRPr="004A6E37">
        <w:rPr>
          <w:rFonts w:ascii="Times New Roman" w:eastAsia="Calibri" w:hAnsi="Times New Roman" w:cs="Times New Roman"/>
          <w:b/>
          <w:sz w:val="24"/>
          <w:szCs w:val="24"/>
        </w:rPr>
        <w:t xml:space="preserve">La préparation des documents d’enquête et </w:t>
      </w:r>
      <w:r w:rsidR="00803855" w:rsidRPr="004A6E37">
        <w:rPr>
          <w:rFonts w:ascii="Times New Roman" w:eastAsia="Calibri" w:hAnsi="Times New Roman" w:cs="Times New Roman"/>
          <w:b/>
          <w:sz w:val="24"/>
          <w:szCs w:val="24"/>
        </w:rPr>
        <w:t xml:space="preserve">de la </w:t>
      </w:r>
      <w:r w:rsidRPr="004A6E37">
        <w:rPr>
          <w:rFonts w:ascii="Times New Roman" w:eastAsia="Calibri" w:hAnsi="Times New Roman" w:cs="Times New Roman"/>
          <w:b/>
          <w:sz w:val="24"/>
          <w:szCs w:val="24"/>
        </w:rPr>
        <w:t xml:space="preserve">formation des enquêteurs </w:t>
      </w:r>
    </w:p>
    <w:p w14:paraId="3AC70CC6" w14:textId="77777777" w:rsidR="00506076" w:rsidRPr="004A6E37" w:rsidRDefault="00506076" w:rsidP="000E20CD">
      <w:pPr>
        <w:spacing w:before="120" w:after="0" w:line="276"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Elle a consisté à :</w:t>
      </w:r>
    </w:p>
    <w:p w14:paraId="0141E392" w14:textId="77777777" w:rsidR="00506076" w:rsidRPr="004A6E37" w:rsidRDefault="00506076" w:rsidP="00920BFE">
      <w:pPr>
        <w:pStyle w:val="Paragraphedeliste"/>
        <w:numPr>
          <w:ilvl w:val="0"/>
          <w:numId w:val="14"/>
        </w:numPr>
        <w:spacing w:before="120" w:after="0" w:line="276"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l’élaboration des questionnaires par le Cabinet et sa validation par le commanditaire ;</w:t>
      </w:r>
    </w:p>
    <w:p w14:paraId="57C41122" w14:textId="77777777" w:rsidR="00506076" w:rsidRPr="004A6E37" w:rsidRDefault="00506076" w:rsidP="00920BFE">
      <w:pPr>
        <w:pStyle w:val="Paragraphedeliste"/>
        <w:numPr>
          <w:ilvl w:val="0"/>
          <w:numId w:val="14"/>
        </w:numPr>
        <w:spacing w:before="120" w:after="0" w:line="276"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la mise en place et la forma</w:t>
      </w:r>
      <w:r w:rsidR="00262267" w:rsidRPr="004A6E37">
        <w:rPr>
          <w:rFonts w:ascii="Times New Roman" w:eastAsia="Calibri" w:hAnsi="Times New Roman" w:cs="Times New Roman"/>
          <w:sz w:val="24"/>
          <w:szCs w:val="24"/>
        </w:rPr>
        <w:t>tion des équipes d’enquêteurs.</w:t>
      </w:r>
    </w:p>
    <w:p w14:paraId="17D22EEE" w14:textId="77777777" w:rsidR="00506076" w:rsidRPr="004A6E37" w:rsidRDefault="00506076" w:rsidP="00920BFE">
      <w:pPr>
        <w:pStyle w:val="Paragraphedeliste"/>
        <w:numPr>
          <w:ilvl w:val="0"/>
          <w:numId w:val="12"/>
        </w:numPr>
        <w:spacing w:before="120" w:after="0" w:line="360" w:lineRule="auto"/>
        <w:ind w:left="357" w:hanging="357"/>
        <w:contextualSpacing w:val="0"/>
        <w:jc w:val="both"/>
        <w:rPr>
          <w:rFonts w:ascii="Times New Roman" w:hAnsi="Times New Roman" w:cs="Times New Roman"/>
          <w:b/>
          <w:sz w:val="24"/>
          <w:szCs w:val="24"/>
        </w:rPr>
      </w:pPr>
      <w:bookmarkStart w:id="9" w:name="_Toc108006280"/>
      <w:bookmarkEnd w:id="8"/>
      <w:r w:rsidRPr="004A6E37">
        <w:rPr>
          <w:rFonts w:ascii="Times New Roman" w:hAnsi="Times New Roman" w:cs="Times New Roman"/>
          <w:b/>
          <w:sz w:val="24"/>
          <w:szCs w:val="24"/>
        </w:rPr>
        <w:t>Phase 2 : Terrain</w:t>
      </w:r>
      <w:bookmarkEnd w:id="9"/>
      <w:r w:rsidRPr="004A6E37">
        <w:rPr>
          <w:rFonts w:ascii="Times New Roman" w:hAnsi="Times New Roman" w:cs="Times New Roman"/>
          <w:b/>
          <w:sz w:val="24"/>
          <w:szCs w:val="24"/>
        </w:rPr>
        <w:t xml:space="preserve"> </w:t>
      </w:r>
    </w:p>
    <w:p w14:paraId="755F1CC6" w14:textId="77777777" w:rsidR="00506076" w:rsidRPr="004A6E37" w:rsidRDefault="00506076" w:rsidP="00230FDB">
      <w:pPr>
        <w:spacing w:before="120" w:after="0"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Les questionnaires validés ont été </w:t>
      </w:r>
      <w:r w:rsidR="004D1F9B" w:rsidRPr="004A6E37">
        <w:rPr>
          <w:rFonts w:ascii="Times New Roman" w:eastAsia="Calibri" w:hAnsi="Times New Roman" w:cs="Times New Roman"/>
          <w:sz w:val="24"/>
          <w:szCs w:val="24"/>
        </w:rPr>
        <w:t>administrés</w:t>
      </w:r>
      <w:r w:rsidRPr="004A6E37">
        <w:rPr>
          <w:rFonts w:ascii="Times New Roman" w:eastAsia="Calibri" w:hAnsi="Times New Roman" w:cs="Times New Roman"/>
          <w:sz w:val="24"/>
          <w:szCs w:val="24"/>
        </w:rPr>
        <w:t xml:space="preserve"> aux administrations</w:t>
      </w:r>
      <w:r w:rsidR="00A565AC" w:rsidRPr="004A6E37">
        <w:rPr>
          <w:rFonts w:ascii="Times New Roman" w:eastAsia="Calibri" w:hAnsi="Times New Roman" w:cs="Times New Roman"/>
          <w:sz w:val="24"/>
          <w:szCs w:val="24"/>
        </w:rPr>
        <w:t>, à la Brigade d’investigation judiciaire</w:t>
      </w:r>
      <w:r w:rsidRPr="004A6E37">
        <w:rPr>
          <w:rFonts w:ascii="Times New Roman" w:eastAsia="Calibri" w:hAnsi="Times New Roman" w:cs="Times New Roman"/>
          <w:sz w:val="24"/>
          <w:szCs w:val="24"/>
        </w:rPr>
        <w:t xml:space="preserve"> </w:t>
      </w:r>
      <w:r w:rsidR="00A565AC" w:rsidRPr="004A6E37">
        <w:rPr>
          <w:rFonts w:ascii="Times New Roman" w:eastAsia="Calibri" w:hAnsi="Times New Roman" w:cs="Times New Roman"/>
          <w:sz w:val="24"/>
          <w:szCs w:val="24"/>
        </w:rPr>
        <w:t>(</w:t>
      </w:r>
      <w:r w:rsidRPr="004A6E37">
        <w:rPr>
          <w:rFonts w:ascii="Times New Roman" w:eastAsia="Calibri" w:hAnsi="Times New Roman" w:cs="Times New Roman"/>
          <w:sz w:val="24"/>
          <w:szCs w:val="24"/>
        </w:rPr>
        <w:t>BIJ</w:t>
      </w:r>
      <w:r w:rsidR="00A565AC" w:rsidRPr="004A6E37">
        <w:rPr>
          <w:rFonts w:ascii="Times New Roman" w:eastAsia="Calibri" w:hAnsi="Times New Roman" w:cs="Times New Roman"/>
          <w:sz w:val="24"/>
          <w:szCs w:val="24"/>
        </w:rPr>
        <w:t>)</w:t>
      </w:r>
      <w:r w:rsidRPr="004A6E37">
        <w:rPr>
          <w:rFonts w:ascii="Times New Roman" w:eastAsia="Calibri" w:hAnsi="Times New Roman" w:cs="Times New Roman"/>
          <w:sz w:val="24"/>
          <w:szCs w:val="24"/>
        </w:rPr>
        <w:t xml:space="preserve">, </w:t>
      </w:r>
      <w:r w:rsidR="006D26A2" w:rsidRPr="004A6E37">
        <w:rPr>
          <w:rFonts w:ascii="Times New Roman" w:eastAsia="Calibri" w:hAnsi="Times New Roman" w:cs="Times New Roman"/>
          <w:sz w:val="24"/>
          <w:szCs w:val="24"/>
        </w:rPr>
        <w:t xml:space="preserve">au </w:t>
      </w:r>
      <w:r w:rsidR="00A565AC" w:rsidRPr="004A6E37">
        <w:rPr>
          <w:rFonts w:ascii="Times New Roman" w:eastAsia="Calibri" w:hAnsi="Times New Roman" w:cs="Times New Roman"/>
          <w:sz w:val="24"/>
          <w:szCs w:val="24"/>
        </w:rPr>
        <w:t>Service d’investigation judiciaire (</w:t>
      </w:r>
      <w:r w:rsidRPr="004A6E37">
        <w:rPr>
          <w:rFonts w:ascii="Times New Roman" w:eastAsia="Calibri" w:hAnsi="Times New Roman" w:cs="Times New Roman"/>
          <w:sz w:val="24"/>
          <w:szCs w:val="24"/>
        </w:rPr>
        <w:t>SIJ</w:t>
      </w:r>
      <w:r w:rsidR="00A565AC" w:rsidRPr="004A6E37">
        <w:rPr>
          <w:rFonts w:ascii="Times New Roman" w:eastAsia="Calibri" w:hAnsi="Times New Roman" w:cs="Times New Roman"/>
          <w:sz w:val="24"/>
          <w:szCs w:val="24"/>
        </w:rPr>
        <w:t>)</w:t>
      </w:r>
      <w:r w:rsidRPr="004A6E37">
        <w:rPr>
          <w:rFonts w:ascii="Times New Roman" w:eastAsia="Calibri" w:hAnsi="Times New Roman" w:cs="Times New Roman"/>
          <w:sz w:val="24"/>
          <w:szCs w:val="24"/>
        </w:rPr>
        <w:t xml:space="preserve"> et aux pôles</w:t>
      </w:r>
      <w:r w:rsidR="006D26A2" w:rsidRPr="004A6E37">
        <w:rPr>
          <w:rFonts w:ascii="Times New Roman" w:eastAsia="Calibri" w:hAnsi="Times New Roman" w:cs="Times New Roman"/>
          <w:sz w:val="24"/>
          <w:szCs w:val="24"/>
        </w:rPr>
        <w:t xml:space="preserve"> judiciaires spé</w:t>
      </w:r>
      <w:r w:rsidRPr="004A6E37">
        <w:rPr>
          <w:rFonts w:ascii="Times New Roman" w:eastAsia="Calibri" w:hAnsi="Times New Roman" w:cs="Times New Roman"/>
          <w:sz w:val="24"/>
          <w:szCs w:val="24"/>
        </w:rPr>
        <w:t xml:space="preserve">cialisés. Ceci a été suivi du recueil des informations et des données auprès des services, des structures et des personnes ressources. </w:t>
      </w:r>
    </w:p>
    <w:p w14:paraId="5CDFE099" w14:textId="77777777" w:rsidR="00506076" w:rsidRPr="004A6E37" w:rsidRDefault="00506076" w:rsidP="00920BFE">
      <w:pPr>
        <w:pStyle w:val="Paragraphedeliste"/>
        <w:numPr>
          <w:ilvl w:val="0"/>
          <w:numId w:val="12"/>
        </w:numPr>
        <w:spacing w:before="120" w:after="0" w:line="360" w:lineRule="auto"/>
        <w:ind w:left="357" w:hanging="357"/>
        <w:contextualSpacing w:val="0"/>
        <w:jc w:val="both"/>
        <w:rPr>
          <w:rFonts w:ascii="Times New Roman" w:hAnsi="Times New Roman" w:cs="Times New Roman"/>
          <w:b/>
          <w:sz w:val="24"/>
          <w:szCs w:val="24"/>
          <w:u w:val="single"/>
        </w:rPr>
      </w:pPr>
      <w:r w:rsidRPr="004A6E37">
        <w:rPr>
          <w:rFonts w:ascii="Times New Roman" w:hAnsi="Times New Roman" w:cs="Times New Roman"/>
          <w:b/>
          <w:sz w:val="24"/>
          <w:szCs w:val="24"/>
          <w:u w:val="single"/>
        </w:rPr>
        <w:t>Phase 3 </w:t>
      </w:r>
      <w:r w:rsidRPr="004A6E37">
        <w:rPr>
          <w:rFonts w:ascii="Times New Roman" w:hAnsi="Times New Roman" w:cs="Times New Roman"/>
          <w:b/>
          <w:sz w:val="24"/>
          <w:szCs w:val="24"/>
        </w:rPr>
        <w:t>: Traitement et analyse des données</w:t>
      </w:r>
      <w:r w:rsidRPr="004A6E37">
        <w:rPr>
          <w:rFonts w:ascii="Times New Roman" w:hAnsi="Times New Roman" w:cs="Times New Roman"/>
          <w:b/>
          <w:sz w:val="24"/>
          <w:szCs w:val="24"/>
          <w:u w:val="single"/>
        </w:rPr>
        <w:t xml:space="preserve"> </w:t>
      </w:r>
    </w:p>
    <w:p w14:paraId="13B8336A" w14:textId="77777777" w:rsidR="00506076" w:rsidRPr="004A6E37" w:rsidRDefault="00506076" w:rsidP="00230FDB">
      <w:pPr>
        <w:spacing w:before="120" w:after="0"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La méthode retenue pour le traitement et l’analyse des donné</w:t>
      </w:r>
      <w:r w:rsidR="00093802" w:rsidRPr="004A6E37">
        <w:rPr>
          <w:rFonts w:ascii="Times New Roman" w:eastAsia="Calibri" w:hAnsi="Times New Roman" w:cs="Times New Roman"/>
          <w:sz w:val="24"/>
          <w:szCs w:val="24"/>
        </w:rPr>
        <w:t>es consiste à utiliser l’outil B</w:t>
      </w:r>
      <w:r w:rsidRPr="004A6E37">
        <w:rPr>
          <w:rFonts w:ascii="Times New Roman" w:eastAsia="Calibri" w:hAnsi="Times New Roman" w:cs="Times New Roman"/>
          <w:sz w:val="24"/>
          <w:szCs w:val="24"/>
        </w:rPr>
        <w:t xml:space="preserve">anque </w:t>
      </w:r>
      <w:r w:rsidR="00093802" w:rsidRPr="004A6E37">
        <w:rPr>
          <w:rFonts w:ascii="Times New Roman" w:eastAsia="Calibri" w:hAnsi="Times New Roman" w:cs="Times New Roman"/>
          <w:sz w:val="24"/>
          <w:szCs w:val="24"/>
        </w:rPr>
        <w:t>M</w:t>
      </w:r>
      <w:r w:rsidRPr="004A6E37">
        <w:rPr>
          <w:rFonts w:ascii="Times New Roman" w:eastAsia="Calibri" w:hAnsi="Times New Roman" w:cs="Times New Roman"/>
          <w:sz w:val="24"/>
          <w:szCs w:val="24"/>
        </w:rPr>
        <w:t>ondiale, les résultats de l’ENR et les réponses des questionnaires pour évaluer les risques de BC/FT auxquels les</w:t>
      </w:r>
      <w:r w:rsidR="00F114FD" w:rsidRPr="004A6E37">
        <w:rPr>
          <w:rFonts w:ascii="Times New Roman" w:eastAsia="Calibri" w:hAnsi="Times New Roman" w:cs="Times New Roman"/>
          <w:sz w:val="24"/>
          <w:szCs w:val="24"/>
        </w:rPr>
        <w:t xml:space="preserve"> personnes morales et autres constructions juridiques</w:t>
      </w:r>
      <w:r w:rsidRPr="004A6E37">
        <w:rPr>
          <w:rFonts w:ascii="Times New Roman" w:eastAsia="Calibri" w:hAnsi="Times New Roman" w:cs="Times New Roman"/>
          <w:sz w:val="24"/>
          <w:szCs w:val="24"/>
        </w:rPr>
        <w:t xml:space="preserve"> </w:t>
      </w:r>
      <w:r w:rsidR="00F114FD" w:rsidRPr="004A6E37">
        <w:rPr>
          <w:rFonts w:ascii="Times New Roman" w:eastAsia="Calibri" w:hAnsi="Times New Roman" w:cs="Times New Roman"/>
          <w:sz w:val="24"/>
          <w:szCs w:val="24"/>
        </w:rPr>
        <w:t>(</w:t>
      </w:r>
      <w:r w:rsidR="006D26A2" w:rsidRPr="004A6E37">
        <w:rPr>
          <w:rFonts w:ascii="Times New Roman" w:eastAsia="Calibri" w:hAnsi="Times New Roman" w:cs="Times New Roman"/>
          <w:sz w:val="24"/>
          <w:szCs w:val="24"/>
        </w:rPr>
        <w:t>PMCJ</w:t>
      </w:r>
      <w:r w:rsidR="00F114FD" w:rsidRPr="004A6E37">
        <w:rPr>
          <w:rFonts w:ascii="Times New Roman" w:eastAsia="Calibri" w:hAnsi="Times New Roman" w:cs="Times New Roman"/>
          <w:sz w:val="24"/>
          <w:szCs w:val="24"/>
        </w:rPr>
        <w:t>)</w:t>
      </w:r>
      <w:r w:rsidRPr="004A6E37">
        <w:rPr>
          <w:rFonts w:ascii="Times New Roman" w:eastAsia="Calibri" w:hAnsi="Times New Roman" w:cs="Times New Roman"/>
          <w:sz w:val="24"/>
          <w:szCs w:val="24"/>
        </w:rPr>
        <w:t xml:space="preserve"> sont exposé</w:t>
      </w:r>
      <w:r w:rsidR="00AB78A8" w:rsidRPr="004A6E37">
        <w:rPr>
          <w:rFonts w:ascii="Times New Roman" w:eastAsia="Calibri" w:hAnsi="Times New Roman" w:cs="Times New Roman"/>
          <w:sz w:val="24"/>
          <w:szCs w:val="24"/>
        </w:rPr>
        <w:t>e</w:t>
      </w:r>
      <w:r w:rsidRPr="004A6E37">
        <w:rPr>
          <w:rFonts w:ascii="Times New Roman" w:eastAsia="Calibri" w:hAnsi="Times New Roman" w:cs="Times New Roman"/>
          <w:sz w:val="24"/>
          <w:szCs w:val="24"/>
        </w:rPr>
        <w:t xml:space="preserve">s. </w:t>
      </w:r>
    </w:p>
    <w:p w14:paraId="1C991737" w14:textId="77777777" w:rsidR="00506076" w:rsidRPr="004A6E37" w:rsidRDefault="00506076" w:rsidP="00920BFE">
      <w:pPr>
        <w:pStyle w:val="Paragraphedeliste"/>
        <w:numPr>
          <w:ilvl w:val="0"/>
          <w:numId w:val="26"/>
        </w:numPr>
        <w:spacing w:before="120" w:after="0" w:line="360" w:lineRule="auto"/>
        <w:contextualSpacing w:val="0"/>
        <w:jc w:val="both"/>
        <w:rPr>
          <w:rFonts w:ascii="Times New Roman" w:eastAsia="Calibri" w:hAnsi="Times New Roman" w:cs="Times New Roman"/>
          <w:b/>
          <w:sz w:val="24"/>
          <w:szCs w:val="24"/>
        </w:rPr>
      </w:pPr>
      <w:r w:rsidRPr="004A6E37">
        <w:rPr>
          <w:rFonts w:ascii="Times New Roman" w:eastAsia="Calibri" w:hAnsi="Times New Roman" w:cs="Times New Roman"/>
          <w:b/>
          <w:sz w:val="24"/>
          <w:szCs w:val="24"/>
        </w:rPr>
        <w:t>Traitement des données</w:t>
      </w:r>
    </w:p>
    <w:p w14:paraId="381C6B2D" w14:textId="77777777" w:rsidR="00506076" w:rsidRPr="004A6E37" w:rsidRDefault="00506076" w:rsidP="000E20CD">
      <w:pPr>
        <w:spacing w:before="120" w:after="0" w:line="276"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Le traitement a consisté à saisir les données et à les apurer (corrections des incohérences). </w:t>
      </w:r>
    </w:p>
    <w:p w14:paraId="35488127" w14:textId="77777777" w:rsidR="00506076" w:rsidRPr="004A6E37" w:rsidRDefault="00442E81" w:rsidP="00920BFE">
      <w:pPr>
        <w:pStyle w:val="Paragraphedeliste"/>
        <w:numPr>
          <w:ilvl w:val="0"/>
          <w:numId w:val="26"/>
        </w:numPr>
        <w:spacing w:before="120" w:after="0" w:line="360" w:lineRule="auto"/>
        <w:contextualSpacing w:val="0"/>
        <w:jc w:val="both"/>
        <w:rPr>
          <w:rFonts w:ascii="Times New Roman" w:eastAsia="Calibri" w:hAnsi="Times New Roman" w:cs="Times New Roman"/>
          <w:b/>
          <w:sz w:val="24"/>
          <w:szCs w:val="24"/>
        </w:rPr>
      </w:pPr>
      <w:r w:rsidRPr="004A6E37">
        <w:rPr>
          <w:rFonts w:ascii="Times New Roman" w:eastAsia="Calibri" w:hAnsi="Times New Roman" w:cs="Times New Roman"/>
          <w:b/>
          <w:sz w:val="24"/>
          <w:szCs w:val="24"/>
        </w:rPr>
        <w:t xml:space="preserve"> </w:t>
      </w:r>
      <w:r w:rsidR="00506076" w:rsidRPr="004A6E37">
        <w:rPr>
          <w:rFonts w:ascii="Times New Roman" w:eastAsia="Calibri" w:hAnsi="Times New Roman" w:cs="Times New Roman"/>
          <w:b/>
          <w:sz w:val="24"/>
          <w:szCs w:val="24"/>
        </w:rPr>
        <w:t>Analyse des données</w:t>
      </w:r>
    </w:p>
    <w:p w14:paraId="398F8CE9" w14:textId="77777777" w:rsidR="00506076" w:rsidRPr="004A6E37" w:rsidRDefault="00506076" w:rsidP="00230FDB">
      <w:pPr>
        <w:spacing w:before="120" w:after="0"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L’analyse a porté sur l’interprétation des données recueillies, la production des tableaux (fréquences, croisement, etc.) et des graphiques dans l’objectif de mieux illustrer les résultats des enquêtes. </w:t>
      </w:r>
    </w:p>
    <w:p w14:paraId="531D9505" w14:textId="77777777" w:rsidR="00506076" w:rsidRPr="004A6E37" w:rsidRDefault="00506076" w:rsidP="00920BFE">
      <w:pPr>
        <w:pStyle w:val="Paragraphedeliste"/>
        <w:numPr>
          <w:ilvl w:val="0"/>
          <w:numId w:val="12"/>
        </w:numPr>
        <w:spacing w:before="120" w:after="0" w:line="360" w:lineRule="auto"/>
        <w:ind w:left="357" w:hanging="357"/>
        <w:contextualSpacing w:val="0"/>
        <w:jc w:val="both"/>
        <w:rPr>
          <w:rFonts w:ascii="Times New Roman" w:hAnsi="Times New Roman" w:cs="Times New Roman"/>
          <w:b/>
          <w:sz w:val="24"/>
          <w:szCs w:val="24"/>
          <w:u w:val="single"/>
        </w:rPr>
      </w:pPr>
      <w:r w:rsidRPr="004A6E37">
        <w:rPr>
          <w:rFonts w:ascii="Times New Roman" w:hAnsi="Times New Roman" w:cs="Times New Roman"/>
          <w:b/>
          <w:sz w:val="24"/>
          <w:szCs w:val="24"/>
          <w:u w:val="single"/>
        </w:rPr>
        <w:t>Phase 4 </w:t>
      </w:r>
      <w:r w:rsidRPr="004A6E37">
        <w:rPr>
          <w:rFonts w:ascii="Times New Roman" w:hAnsi="Times New Roman" w:cs="Times New Roman"/>
          <w:b/>
          <w:sz w:val="24"/>
          <w:szCs w:val="24"/>
        </w:rPr>
        <w:t>: Rédaction du rapport provisoire</w:t>
      </w:r>
    </w:p>
    <w:p w14:paraId="30EABA82" w14:textId="77777777" w:rsidR="00506076" w:rsidRPr="004A6E37" w:rsidRDefault="00506076" w:rsidP="00230FDB">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Un rapport provisoire en cinq (05) exemplaires </w:t>
      </w:r>
      <w:r w:rsidR="00E277A8" w:rsidRPr="004A6E37">
        <w:rPr>
          <w:rFonts w:ascii="Times New Roman" w:eastAsia="Calibri" w:hAnsi="Times New Roman" w:cs="Times New Roman"/>
          <w:sz w:val="24"/>
          <w:szCs w:val="24"/>
        </w:rPr>
        <w:t>sera</w:t>
      </w:r>
      <w:r w:rsidRPr="004A6E37">
        <w:rPr>
          <w:rFonts w:ascii="Times New Roman" w:eastAsia="Calibri" w:hAnsi="Times New Roman" w:cs="Times New Roman"/>
          <w:sz w:val="24"/>
          <w:szCs w:val="24"/>
        </w:rPr>
        <w:t xml:space="preserve"> transmis</w:t>
      </w:r>
      <w:r w:rsidR="00FC7BE4" w:rsidRPr="004A6E37">
        <w:rPr>
          <w:rFonts w:ascii="Times New Roman" w:eastAsia="Calibri" w:hAnsi="Times New Roman" w:cs="Times New Roman"/>
          <w:sz w:val="24"/>
          <w:szCs w:val="24"/>
        </w:rPr>
        <w:t xml:space="preserve"> à la CENTIF pour observations.</w:t>
      </w:r>
      <w:r w:rsidRPr="004A6E37">
        <w:rPr>
          <w:rFonts w:ascii="Times New Roman" w:eastAsia="Calibri" w:hAnsi="Times New Roman" w:cs="Times New Roman"/>
          <w:sz w:val="24"/>
          <w:szCs w:val="24"/>
        </w:rPr>
        <w:t xml:space="preserve"> Les suggestions et recommandations </w:t>
      </w:r>
      <w:r w:rsidR="00E277A8" w:rsidRPr="004A6E37">
        <w:rPr>
          <w:rFonts w:ascii="Times New Roman" w:eastAsia="Calibri" w:hAnsi="Times New Roman" w:cs="Times New Roman"/>
          <w:sz w:val="24"/>
          <w:szCs w:val="24"/>
        </w:rPr>
        <w:t>seront</w:t>
      </w:r>
      <w:r w:rsidRPr="004A6E37">
        <w:rPr>
          <w:rFonts w:ascii="Times New Roman" w:eastAsia="Calibri" w:hAnsi="Times New Roman" w:cs="Times New Roman"/>
          <w:sz w:val="24"/>
          <w:szCs w:val="24"/>
        </w:rPr>
        <w:t xml:space="preserve"> intégrées dans la version finale et remise en cinq (05) exemplaires et en version électronique sur clé USB.</w:t>
      </w:r>
    </w:p>
    <w:p w14:paraId="3801D0F6" w14:textId="77777777" w:rsidR="00260C33" w:rsidRPr="004A6E37" w:rsidRDefault="00260C33" w:rsidP="00920BFE">
      <w:pPr>
        <w:pStyle w:val="Paragraphedeliste"/>
        <w:numPr>
          <w:ilvl w:val="0"/>
          <w:numId w:val="1"/>
        </w:numPr>
        <w:spacing w:line="360" w:lineRule="auto"/>
        <w:jc w:val="both"/>
        <w:outlineLvl w:val="1"/>
        <w:rPr>
          <w:rFonts w:ascii="Times New Roman" w:hAnsi="Times New Roman" w:cs="Times New Roman"/>
          <w:b/>
          <w:sz w:val="24"/>
          <w:szCs w:val="24"/>
        </w:rPr>
      </w:pPr>
      <w:bookmarkStart w:id="10" w:name="_Toc126251856"/>
      <w:r w:rsidRPr="004A6E37">
        <w:rPr>
          <w:rFonts w:ascii="Times New Roman" w:hAnsi="Times New Roman" w:cs="Times New Roman"/>
          <w:b/>
          <w:sz w:val="24"/>
          <w:szCs w:val="24"/>
        </w:rPr>
        <w:t>Difficultés rencontrées :</w:t>
      </w:r>
      <w:bookmarkEnd w:id="10"/>
    </w:p>
    <w:p w14:paraId="38BA4F00" w14:textId="77777777" w:rsidR="009B7F30" w:rsidRPr="004A6E37" w:rsidRDefault="00260C33" w:rsidP="000E20CD">
      <w:pPr>
        <w:spacing w:line="276"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L</w:t>
      </w:r>
      <w:r w:rsidR="002E2BE8" w:rsidRPr="004A6E37">
        <w:rPr>
          <w:rFonts w:ascii="Times New Roman" w:hAnsi="Times New Roman" w:cs="Times New Roman"/>
          <w:sz w:val="24"/>
          <w:szCs w:val="24"/>
        </w:rPr>
        <w:t>es</w:t>
      </w:r>
      <w:r w:rsidRPr="004A6E37">
        <w:rPr>
          <w:rFonts w:ascii="Times New Roman" w:hAnsi="Times New Roman" w:cs="Times New Roman"/>
          <w:sz w:val="24"/>
          <w:szCs w:val="24"/>
        </w:rPr>
        <w:t xml:space="preserve"> données</w:t>
      </w:r>
      <w:r w:rsidR="002E2BE8" w:rsidRPr="004A6E37">
        <w:rPr>
          <w:rFonts w:ascii="Times New Roman" w:hAnsi="Times New Roman" w:cs="Times New Roman"/>
          <w:sz w:val="24"/>
          <w:szCs w:val="24"/>
        </w:rPr>
        <w:t xml:space="preserve"> statistiques relatives </w:t>
      </w:r>
      <w:r w:rsidRPr="004A6E37">
        <w:rPr>
          <w:rFonts w:ascii="Times New Roman" w:hAnsi="Times New Roman" w:cs="Times New Roman"/>
          <w:sz w:val="24"/>
          <w:szCs w:val="24"/>
        </w:rPr>
        <w:t xml:space="preserve">à l’étude des personnes morales et autres constructions juridiques </w:t>
      </w:r>
      <w:r w:rsidR="002E2BE8" w:rsidRPr="004A6E37">
        <w:rPr>
          <w:rFonts w:ascii="Times New Roman" w:hAnsi="Times New Roman" w:cs="Times New Roman"/>
          <w:sz w:val="24"/>
          <w:szCs w:val="24"/>
        </w:rPr>
        <w:t>ont été difficiles à obtenir</w:t>
      </w:r>
      <w:r w:rsidRPr="004A6E37">
        <w:rPr>
          <w:rFonts w:ascii="Times New Roman" w:hAnsi="Times New Roman" w:cs="Times New Roman"/>
          <w:sz w:val="24"/>
          <w:szCs w:val="24"/>
        </w:rPr>
        <w:t xml:space="preserve"> pour certaines structures</w:t>
      </w:r>
      <w:r w:rsidR="002E2BE8" w:rsidRPr="004A6E37">
        <w:rPr>
          <w:rFonts w:ascii="Times New Roman" w:hAnsi="Times New Roman" w:cs="Times New Roman"/>
          <w:sz w:val="24"/>
          <w:szCs w:val="24"/>
        </w:rPr>
        <w:t>. Cela se comprend parce</w:t>
      </w:r>
      <w:r w:rsidR="00D7667D" w:rsidRPr="004A6E37">
        <w:rPr>
          <w:rFonts w:ascii="Times New Roman" w:hAnsi="Times New Roman" w:cs="Times New Roman"/>
          <w:sz w:val="24"/>
          <w:szCs w:val="24"/>
        </w:rPr>
        <w:t xml:space="preserve"> que</w:t>
      </w:r>
      <w:r w:rsidR="002E2BE8" w:rsidRPr="004A6E37">
        <w:rPr>
          <w:rFonts w:ascii="Times New Roman" w:hAnsi="Times New Roman" w:cs="Times New Roman"/>
          <w:sz w:val="24"/>
          <w:szCs w:val="24"/>
        </w:rPr>
        <w:t xml:space="preserve"> le Mali, n’a adopté sa législation de LBC/FT que très récemment et il y a très peu de poursuites encore ouverte</w:t>
      </w:r>
      <w:r w:rsidR="00245A9E" w:rsidRPr="004A6E37">
        <w:rPr>
          <w:rFonts w:ascii="Times New Roman" w:hAnsi="Times New Roman" w:cs="Times New Roman"/>
          <w:sz w:val="24"/>
          <w:szCs w:val="24"/>
        </w:rPr>
        <w:t>s</w:t>
      </w:r>
      <w:r w:rsidR="002E2BE8" w:rsidRPr="004A6E37">
        <w:rPr>
          <w:rFonts w:ascii="Times New Roman" w:hAnsi="Times New Roman" w:cs="Times New Roman"/>
          <w:sz w:val="24"/>
          <w:szCs w:val="24"/>
        </w:rPr>
        <w:t xml:space="preserve"> en relation avec des cas de blanchiment </w:t>
      </w:r>
      <w:r w:rsidR="00636BD7" w:rsidRPr="004A6E37">
        <w:rPr>
          <w:rFonts w:ascii="Times New Roman" w:hAnsi="Times New Roman" w:cs="Times New Roman"/>
          <w:sz w:val="24"/>
          <w:szCs w:val="24"/>
        </w:rPr>
        <w:t>de capitaux</w:t>
      </w:r>
      <w:r w:rsidR="002E2BE8" w:rsidRPr="004A6E37">
        <w:rPr>
          <w:rFonts w:ascii="Times New Roman" w:hAnsi="Times New Roman" w:cs="Times New Roman"/>
          <w:sz w:val="24"/>
          <w:szCs w:val="24"/>
        </w:rPr>
        <w:t>.</w:t>
      </w:r>
    </w:p>
    <w:p w14:paraId="5E758079" w14:textId="77777777" w:rsidR="009B7F30" w:rsidRPr="004A6E37" w:rsidRDefault="009B7F30" w:rsidP="00230FDB">
      <w:pPr>
        <w:spacing w:line="360" w:lineRule="auto"/>
        <w:jc w:val="both"/>
        <w:rPr>
          <w:rFonts w:ascii="Times New Roman" w:hAnsi="Times New Roman" w:cs="Times New Roman"/>
          <w:b/>
          <w:sz w:val="24"/>
          <w:szCs w:val="24"/>
          <w:shd w:val="clear" w:color="auto" w:fill="FFFFFF"/>
        </w:rPr>
      </w:pPr>
    </w:p>
    <w:p w14:paraId="5CCE9B1D" w14:textId="77777777" w:rsidR="00EB7920" w:rsidRPr="004A6E37" w:rsidRDefault="00EB7920" w:rsidP="00230FDB">
      <w:pPr>
        <w:spacing w:line="360" w:lineRule="auto"/>
        <w:jc w:val="center"/>
        <w:rPr>
          <w:rFonts w:ascii="Times New Roman" w:hAnsi="Times New Roman" w:cs="Times New Roman"/>
          <w:b/>
          <w:sz w:val="52"/>
          <w:szCs w:val="24"/>
        </w:rPr>
      </w:pPr>
    </w:p>
    <w:p w14:paraId="7D219CB8" w14:textId="77777777" w:rsidR="00231B1A" w:rsidRDefault="00231B1A" w:rsidP="00EB7920">
      <w:pPr>
        <w:spacing w:line="360" w:lineRule="auto"/>
        <w:jc w:val="center"/>
        <w:rPr>
          <w:rFonts w:ascii="Times New Roman" w:hAnsi="Times New Roman" w:cs="Times New Roman"/>
          <w:b/>
          <w:sz w:val="52"/>
          <w:szCs w:val="24"/>
        </w:rPr>
      </w:pPr>
    </w:p>
    <w:p w14:paraId="0D864259" w14:textId="77777777" w:rsidR="000E20CD" w:rsidRDefault="000E20CD" w:rsidP="00EB7920">
      <w:pPr>
        <w:spacing w:line="360" w:lineRule="auto"/>
        <w:jc w:val="center"/>
        <w:rPr>
          <w:rFonts w:ascii="Times New Roman" w:hAnsi="Times New Roman" w:cs="Times New Roman"/>
          <w:b/>
          <w:sz w:val="52"/>
          <w:szCs w:val="24"/>
        </w:rPr>
      </w:pPr>
    </w:p>
    <w:p w14:paraId="72ABFB6A" w14:textId="77777777" w:rsidR="000E20CD" w:rsidRPr="004A6E37" w:rsidRDefault="000E20CD" w:rsidP="00EB7920">
      <w:pPr>
        <w:spacing w:line="360" w:lineRule="auto"/>
        <w:jc w:val="center"/>
        <w:rPr>
          <w:rFonts w:ascii="Times New Roman" w:hAnsi="Times New Roman" w:cs="Times New Roman"/>
          <w:b/>
          <w:sz w:val="52"/>
          <w:szCs w:val="24"/>
        </w:rPr>
      </w:pPr>
    </w:p>
    <w:p w14:paraId="4AD8FC5B" w14:textId="77777777" w:rsidR="00627BE8" w:rsidRPr="004A6E37" w:rsidRDefault="000B5599" w:rsidP="009E4DCF">
      <w:pPr>
        <w:pStyle w:val="Titre1"/>
        <w:numPr>
          <w:ilvl w:val="0"/>
          <w:numId w:val="0"/>
        </w:numPr>
        <w:pBdr>
          <w:top w:val="single" w:sz="48" w:space="1" w:color="002060" w:shadow="1"/>
          <w:left w:val="single" w:sz="48" w:space="4" w:color="002060" w:shadow="1"/>
          <w:bottom w:val="single" w:sz="48" w:space="1" w:color="002060" w:shadow="1"/>
          <w:right w:val="single" w:sz="48" w:space="4" w:color="002060" w:shadow="1"/>
        </w:pBdr>
        <w:ind w:left="432"/>
        <w:jc w:val="center"/>
        <w:rPr>
          <w:rFonts w:ascii="Times New Roman" w:hAnsi="Times New Roman" w:cs="Times New Roman"/>
          <w:b/>
          <w:color w:val="auto"/>
          <w:sz w:val="22"/>
          <w:szCs w:val="24"/>
          <w:shd w:val="clear" w:color="auto" w:fill="FFFFFF"/>
        </w:rPr>
      </w:pPr>
      <w:bookmarkStart w:id="11" w:name="_Toc126251857"/>
      <w:r w:rsidRPr="004A6E37">
        <w:rPr>
          <w:rFonts w:ascii="Times New Roman" w:hAnsi="Times New Roman" w:cs="Times New Roman"/>
          <w:b/>
          <w:color w:val="auto"/>
          <w:sz w:val="48"/>
          <w:szCs w:val="24"/>
        </w:rPr>
        <w:t>PREMIERE PARTIE :</w:t>
      </w:r>
      <w:r w:rsidRPr="004A6E37">
        <w:rPr>
          <w:rFonts w:ascii="Times New Roman" w:hAnsi="Times New Roman" w:cs="Times New Roman"/>
          <w:b/>
          <w:color w:val="auto"/>
          <w:sz w:val="22"/>
          <w:szCs w:val="24"/>
          <w:shd w:val="clear" w:color="auto" w:fill="FFFFFF"/>
        </w:rPr>
        <w:t xml:space="preserve"> </w:t>
      </w:r>
      <w:r w:rsidRPr="004A6E37">
        <w:rPr>
          <w:rFonts w:ascii="Times New Roman" w:hAnsi="Times New Roman" w:cs="Times New Roman"/>
          <w:b/>
          <w:color w:val="auto"/>
          <w:sz w:val="48"/>
          <w:szCs w:val="52"/>
        </w:rPr>
        <w:t>LES CONCEPTS DE « PERSONNES MORALES » ET AUTRES « CONSTRUCTIONS JURIDIQUES »</w:t>
      </w:r>
      <w:bookmarkEnd w:id="11"/>
    </w:p>
    <w:p w14:paraId="015609CD" w14:textId="77777777" w:rsidR="00627BE8" w:rsidRPr="004A6E37" w:rsidRDefault="00627BE8">
      <w:pPr>
        <w:spacing w:after="0" w:line="240" w:lineRule="auto"/>
        <w:rPr>
          <w:rFonts w:ascii="Times New Roman" w:hAnsi="Times New Roman" w:cs="Times New Roman"/>
          <w:b/>
          <w:sz w:val="52"/>
          <w:szCs w:val="52"/>
        </w:rPr>
      </w:pPr>
      <w:r w:rsidRPr="004A6E37">
        <w:rPr>
          <w:rFonts w:ascii="Times New Roman" w:hAnsi="Times New Roman" w:cs="Times New Roman"/>
          <w:b/>
          <w:sz w:val="52"/>
          <w:szCs w:val="52"/>
        </w:rPr>
        <w:br w:type="page"/>
      </w:r>
    </w:p>
    <w:p w14:paraId="5CC2AFAC" w14:textId="77777777" w:rsidR="009B7F30" w:rsidRPr="004A6E37" w:rsidRDefault="000D1B07" w:rsidP="0075262F">
      <w:pPr>
        <w:pStyle w:val="Titre2"/>
        <w:numPr>
          <w:ilvl w:val="0"/>
          <w:numId w:val="0"/>
        </w:numPr>
        <w:ind w:left="576" w:hanging="576"/>
        <w:rPr>
          <w:rFonts w:ascii="Times New Roman" w:hAnsi="Times New Roman" w:cs="Times New Roman"/>
          <w:b/>
          <w:color w:val="auto"/>
          <w:sz w:val="24"/>
          <w:szCs w:val="24"/>
          <w:shd w:val="clear" w:color="auto" w:fill="FFFFFF"/>
        </w:rPr>
      </w:pPr>
      <w:bookmarkStart w:id="12" w:name="_Toc126251858"/>
      <w:r w:rsidRPr="004A6E37">
        <w:rPr>
          <w:rFonts w:ascii="Times New Roman" w:hAnsi="Times New Roman" w:cs="Times New Roman"/>
          <w:b/>
          <w:color w:val="auto"/>
          <w:sz w:val="24"/>
          <w:szCs w:val="24"/>
          <w:shd w:val="clear" w:color="auto" w:fill="FFFFFF"/>
        </w:rPr>
        <w:lastRenderedPageBreak/>
        <w:t xml:space="preserve">I. </w:t>
      </w:r>
      <w:r w:rsidR="00504093" w:rsidRPr="004A6E37">
        <w:rPr>
          <w:rFonts w:ascii="Times New Roman" w:hAnsi="Times New Roman" w:cs="Times New Roman"/>
          <w:b/>
          <w:color w:val="auto"/>
          <w:sz w:val="24"/>
          <w:szCs w:val="24"/>
          <w:shd w:val="clear" w:color="auto" w:fill="FFFFFF"/>
        </w:rPr>
        <w:t xml:space="preserve"> Définition de p</w:t>
      </w:r>
      <w:r w:rsidR="002E2BE8" w:rsidRPr="004A6E37">
        <w:rPr>
          <w:rFonts w:ascii="Times New Roman" w:hAnsi="Times New Roman" w:cs="Times New Roman"/>
          <w:b/>
          <w:color w:val="auto"/>
          <w:sz w:val="24"/>
          <w:szCs w:val="24"/>
          <w:shd w:val="clear" w:color="auto" w:fill="FFFFFF"/>
        </w:rPr>
        <w:t>ersonne</w:t>
      </w:r>
      <w:r w:rsidR="00452BCB" w:rsidRPr="004A6E37">
        <w:rPr>
          <w:rFonts w:ascii="Times New Roman" w:hAnsi="Times New Roman" w:cs="Times New Roman"/>
          <w:b/>
          <w:color w:val="auto"/>
          <w:sz w:val="24"/>
          <w:szCs w:val="24"/>
          <w:shd w:val="clear" w:color="auto" w:fill="FFFFFF"/>
        </w:rPr>
        <w:t>s</w:t>
      </w:r>
      <w:r w:rsidR="002E2BE8" w:rsidRPr="004A6E37">
        <w:rPr>
          <w:rFonts w:ascii="Times New Roman" w:hAnsi="Times New Roman" w:cs="Times New Roman"/>
          <w:b/>
          <w:color w:val="auto"/>
          <w:sz w:val="24"/>
          <w:szCs w:val="24"/>
          <w:shd w:val="clear" w:color="auto" w:fill="FFFFFF"/>
        </w:rPr>
        <w:t xml:space="preserve"> morale</w:t>
      </w:r>
      <w:r w:rsidR="00452BCB" w:rsidRPr="004A6E37">
        <w:rPr>
          <w:rFonts w:ascii="Times New Roman" w:hAnsi="Times New Roman" w:cs="Times New Roman"/>
          <w:b/>
          <w:color w:val="auto"/>
          <w:sz w:val="24"/>
          <w:szCs w:val="24"/>
          <w:shd w:val="clear" w:color="auto" w:fill="FFFFFF"/>
        </w:rPr>
        <w:t>s</w:t>
      </w:r>
      <w:r w:rsidR="002E2BE8" w:rsidRPr="004A6E37">
        <w:rPr>
          <w:rFonts w:ascii="Times New Roman" w:hAnsi="Times New Roman" w:cs="Times New Roman"/>
          <w:b/>
          <w:color w:val="auto"/>
          <w:sz w:val="24"/>
          <w:szCs w:val="24"/>
          <w:shd w:val="clear" w:color="auto" w:fill="FFFFFF"/>
        </w:rPr>
        <w:t> :</w:t>
      </w:r>
      <w:bookmarkEnd w:id="12"/>
    </w:p>
    <w:p w14:paraId="33DA4E26" w14:textId="77777777" w:rsidR="00B21AF7" w:rsidRPr="004A6E37" w:rsidRDefault="00B21AF7" w:rsidP="00B21AF7">
      <w:pPr>
        <w:rPr>
          <w:rFonts w:ascii="Times New Roman" w:hAnsi="Times New Roman" w:cs="Times New Roman"/>
          <w:sz w:val="2"/>
        </w:rPr>
      </w:pPr>
    </w:p>
    <w:p w14:paraId="58F4E5FD"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La notion de personne morale n’est pas définie par la législation malienne. Mais de façon simpliste, et selon le lexique des termes juridiques « une personne morale est un groupement de personnes ou de biens ayant la personnalité juridique, et étant par conséquent titulaire de droits et d’obligations »</w:t>
      </w:r>
      <w:r w:rsidR="006C7483" w:rsidRPr="004A6E37">
        <w:rPr>
          <w:rFonts w:ascii="Times New Roman" w:hAnsi="Times New Roman" w:cs="Times New Roman"/>
          <w:sz w:val="24"/>
          <w:szCs w:val="24"/>
        </w:rPr>
        <w:t>.</w:t>
      </w:r>
    </w:p>
    <w:p w14:paraId="4628011D"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Ces personnes morales peuve</w:t>
      </w:r>
      <w:r w:rsidR="00354659" w:rsidRPr="004A6E37">
        <w:rPr>
          <w:rFonts w:ascii="Times New Roman" w:hAnsi="Times New Roman" w:cs="Times New Roman"/>
          <w:sz w:val="24"/>
          <w:szCs w:val="24"/>
        </w:rPr>
        <w:t>nt poursuivre un but lucratif</w:t>
      </w:r>
      <w:r w:rsidR="00E66713" w:rsidRPr="004A6E37">
        <w:rPr>
          <w:rFonts w:ascii="Times New Roman" w:hAnsi="Times New Roman" w:cs="Times New Roman"/>
          <w:sz w:val="24"/>
          <w:szCs w:val="24"/>
        </w:rPr>
        <w:t xml:space="preserve"> </w:t>
      </w:r>
      <w:r w:rsidR="00354659" w:rsidRPr="004A6E37">
        <w:rPr>
          <w:rFonts w:ascii="Times New Roman" w:hAnsi="Times New Roman" w:cs="Times New Roman"/>
          <w:sz w:val="24"/>
          <w:szCs w:val="24"/>
        </w:rPr>
        <w:t>-</w:t>
      </w:r>
      <w:r w:rsidRPr="004A6E37">
        <w:rPr>
          <w:rFonts w:ascii="Times New Roman" w:hAnsi="Times New Roman" w:cs="Times New Roman"/>
          <w:sz w:val="24"/>
          <w:szCs w:val="24"/>
        </w:rPr>
        <w:t>l</w:t>
      </w:r>
      <w:r w:rsidR="00354659" w:rsidRPr="004A6E37">
        <w:rPr>
          <w:rFonts w:ascii="Times New Roman" w:hAnsi="Times New Roman" w:cs="Times New Roman"/>
          <w:sz w:val="24"/>
          <w:szCs w:val="24"/>
        </w:rPr>
        <w:t>es sociétés- ou non lucratif</w:t>
      </w:r>
      <w:r w:rsidR="00E66713" w:rsidRPr="004A6E37">
        <w:rPr>
          <w:rFonts w:ascii="Times New Roman" w:hAnsi="Times New Roman" w:cs="Times New Roman"/>
          <w:sz w:val="24"/>
          <w:szCs w:val="24"/>
        </w:rPr>
        <w:t xml:space="preserve"> </w:t>
      </w:r>
      <w:r w:rsidR="00354659" w:rsidRPr="004A6E37">
        <w:rPr>
          <w:rFonts w:ascii="Times New Roman" w:hAnsi="Times New Roman" w:cs="Times New Roman"/>
          <w:sz w:val="24"/>
          <w:szCs w:val="24"/>
        </w:rPr>
        <w:t>-</w:t>
      </w:r>
      <w:r w:rsidRPr="004A6E37">
        <w:rPr>
          <w:rFonts w:ascii="Times New Roman" w:hAnsi="Times New Roman" w:cs="Times New Roman"/>
          <w:sz w:val="24"/>
          <w:szCs w:val="24"/>
        </w:rPr>
        <w:t>les organismes à but non lucratif (OBNL).</w:t>
      </w:r>
    </w:p>
    <w:p w14:paraId="07BF8616" w14:textId="77777777" w:rsidR="009B7F30" w:rsidRPr="004A6E37" w:rsidRDefault="000D1B07" w:rsidP="0075262F">
      <w:pPr>
        <w:pStyle w:val="Titre2"/>
        <w:numPr>
          <w:ilvl w:val="0"/>
          <w:numId w:val="0"/>
        </w:numPr>
        <w:ind w:left="576" w:hanging="576"/>
        <w:rPr>
          <w:rFonts w:ascii="Times New Roman" w:hAnsi="Times New Roman" w:cs="Times New Roman"/>
          <w:b/>
          <w:color w:val="auto"/>
          <w:sz w:val="24"/>
          <w:szCs w:val="24"/>
          <w:shd w:val="clear" w:color="auto" w:fill="FFFFFF"/>
        </w:rPr>
      </w:pPr>
      <w:bookmarkStart w:id="13" w:name="_Toc126251859"/>
      <w:r w:rsidRPr="004A6E37">
        <w:rPr>
          <w:rFonts w:ascii="Times New Roman" w:hAnsi="Times New Roman" w:cs="Times New Roman"/>
          <w:b/>
          <w:color w:val="auto"/>
          <w:sz w:val="24"/>
          <w:szCs w:val="24"/>
          <w:shd w:val="clear" w:color="auto" w:fill="FFFFFF"/>
        </w:rPr>
        <w:t xml:space="preserve">II. </w:t>
      </w:r>
      <w:r w:rsidR="002E2BE8" w:rsidRPr="004A6E37">
        <w:rPr>
          <w:rFonts w:ascii="Times New Roman" w:hAnsi="Times New Roman" w:cs="Times New Roman"/>
          <w:b/>
          <w:color w:val="auto"/>
          <w:sz w:val="24"/>
          <w:szCs w:val="24"/>
          <w:shd w:val="clear" w:color="auto" w:fill="FFFFFF"/>
        </w:rPr>
        <w:t>Définition de constructions juridiques</w:t>
      </w:r>
      <w:bookmarkEnd w:id="13"/>
    </w:p>
    <w:p w14:paraId="5987B795" w14:textId="77777777" w:rsidR="00B21AF7" w:rsidRPr="004A6E37" w:rsidRDefault="00B21AF7" w:rsidP="00B21AF7">
      <w:pPr>
        <w:rPr>
          <w:rFonts w:ascii="Times New Roman" w:hAnsi="Times New Roman" w:cs="Times New Roman"/>
          <w:sz w:val="2"/>
        </w:rPr>
      </w:pPr>
    </w:p>
    <w:p w14:paraId="469AB4CE" w14:textId="77777777" w:rsidR="009B7F30" w:rsidRPr="004A6E37" w:rsidRDefault="002E2BE8">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Au sens </w:t>
      </w:r>
      <w:r w:rsidR="00DD2E37" w:rsidRPr="004A6E37">
        <w:rPr>
          <w:rFonts w:ascii="Times New Roman" w:hAnsi="Times New Roman" w:cs="Times New Roman"/>
          <w:sz w:val="24"/>
          <w:szCs w:val="24"/>
        </w:rPr>
        <w:t xml:space="preserve">de l’article premier point 21 </w:t>
      </w:r>
      <w:r w:rsidRPr="004A6E37">
        <w:rPr>
          <w:rFonts w:ascii="Times New Roman" w:hAnsi="Times New Roman" w:cs="Times New Roman"/>
          <w:sz w:val="24"/>
          <w:szCs w:val="24"/>
        </w:rPr>
        <w:t>de la</w:t>
      </w:r>
      <w:r w:rsidRPr="004A6E37">
        <w:rPr>
          <w:rFonts w:ascii="Times New Roman" w:hAnsi="Times New Roman" w:cs="Times New Roman"/>
          <w:b/>
          <w:sz w:val="24"/>
          <w:szCs w:val="24"/>
        </w:rPr>
        <w:t xml:space="preserve"> </w:t>
      </w:r>
      <w:r w:rsidR="00C36AB6" w:rsidRPr="004A6E37">
        <w:rPr>
          <w:rFonts w:ascii="Times New Roman" w:eastAsia="Times New Roman" w:hAnsi="Times New Roman" w:cs="Times New Roman"/>
          <w:sz w:val="24"/>
          <w:szCs w:val="24"/>
          <w:lang w:eastAsia="fr-FR"/>
        </w:rPr>
        <w:t>Loi n°008</w:t>
      </w:r>
      <w:r w:rsidR="006A70F9" w:rsidRPr="004A6E37">
        <w:rPr>
          <w:rFonts w:ascii="Times New Roman" w:eastAsia="Times New Roman" w:hAnsi="Times New Roman" w:cs="Times New Roman"/>
          <w:sz w:val="24"/>
          <w:szCs w:val="24"/>
          <w:lang w:eastAsia="fr-FR"/>
        </w:rPr>
        <w:t xml:space="preserve"> du 17 mars 2016 portant l</w:t>
      </w:r>
      <w:r w:rsidRPr="004A6E37">
        <w:rPr>
          <w:rFonts w:ascii="Times New Roman" w:eastAsia="Times New Roman" w:hAnsi="Times New Roman" w:cs="Times New Roman"/>
          <w:sz w:val="24"/>
          <w:szCs w:val="24"/>
          <w:lang w:eastAsia="fr-FR"/>
        </w:rPr>
        <w:t>oi uniforme</w:t>
      </w:r>
      <w:r w:rsidRPr="004A6E37">
        <w:rPr>
          <w:rFonts w:ascii="Times New Roman" w:eastAsia="Times New Roman" w:hAnsi="Times New Roman" w:cs="Times New Roman"/>
          <w:sz w:val="24"/>
          <w:szCs w:val="24"/>
          <w:vertAlign w:val="superscript"/>
          <w:lang w:eastAsia="fr-FR"/>
        </w:rPr>
        <w:t xml:space="preserve"> </w:t>
      </w:r>
      <w:r w:rsidRPr="004A6E37">
        <w:rPr>
          <w:rFonts w:ascii="Times New Roman" w:eastAsia="Times New Roman" w:hAnsi="Times New Roman" w:cs="Times New Roman"/>
          <w:sz w:val="24"/>
          <w:szCs w:val="24"/>
          <w:lang w:eastAsia="fr-FR"/>
        </w:rPr>
        <w:t>relative à la LBC/FT, l</w:t>
      </w:r>
      <w:r w:rsidR="006A70F9" w:rsidRPr="004A6E37">
        <w:rPr>
          <w:rFonts w:ascii="Times New Roman" w:eastAsia="Times New Roman" w:hAnsi="Times New Roman" w:cs="Times New Roman"/>
          <w:sz w:val="24"/>
          <w:szCs w:val="24"/>
          <w:lang w:eastAsia="fr-FR"/>
        </w:rPr>
        <w:t>es « constructions juridiques »</w:t>
      </w:r>
      <w:r w:rsidRPr="004A6E37">
        <w:rPr>
          <w:rFonts w:ascii="Times New Roman" w:eastAsia="Times New Roman" w:hAnsi="Times New Roman" w:cs="Times New Roman"/>
          <w:sz w:val="24"/>
          <w:szCs w:val="24"/>
          <w:lang w:eastAsia="fr-FR"/>
        </w:rPr>
        <w:t xml:space="preserve"> sont constituées </w:t>
      </w:r>
      <w:r w:rsidRPr="004A6E37">
        <w:rPr>
          <w:rFonts w:ascii="Times New Roman" w:hAnsi="Times New Roman" w:cs="Times New Roman"/>
          <w:sz w:val="24"/>
          <w:szCs w:val="24"/>
        </w:rPr>
        <w:t>des fiducies expresses ou les constructions juridiques similaires. Ainsi, il ressort de cette définition que les constructions juridiques au Mali se rapportent essentiellement aux fiducies. En droit malien</w:t>
      </w:r>
      <w:r w:rsidR="006C2F98" w:rsidRPr="004A6E37">
        <w:rPr>
          <w:rFonts w:ascii="Times New Roman" w:hAnsi="Times New Roman" w:cs="Times New Roman"/>
          <w:sz w:val="24"/>
          <w:szCs w:val="24"/>
        </w:rPr>
        <w:t>,</w:t>
      </w:r>
      <w:r w:rsidRPr="004A6E37">
        <w:rPr>
          <w:rFonts w:ascii="Times New Roman" w:hAnsi="Times New Roman" w:cs="Times New Roman"/>
          <w:sz w:val="24"/>
          <w:szCs w:val="24"/>
        </w:rPr>
        <w:t xml:space="preserve"> la fiducie a été introduite dans le dispositif juridique par la Loi </w:t>
      </w:r>
      <w:r w:rsidR="006C2F98" w:rsidRPr="004A6E37">
        <w:rPr>
          <w:rFonts w:ascii="Times New Roman" w:eastAsia="Times New Roman" w:hAnsi="Times New Roman" w:cs="Times New Roman"/>
          <w:sz w:val="24"/>
          <w:szCs w:val="24"/>
          <w:lang w:eastAsia="fr-FR"/>
        </w:rPr>
        <w:t xml:space="preserve">n°008 </w:t>
      </w:r>
      <w:r w:rsidRPr="004A6E37">
        <w:rPr>
          <w:rFonts w:ascii="Times New Roman" w:hAnsi="Times New Roman" w:cs="Times New Roman"/>
          <w:sz w:val="24"/>
          <w:szCs w:val="24"/>
        </w:rPr>
        <w:t xml:space="preserve">du 17 mars 2016 </w:t>
      </w:r>
      <w:r w:rsidR="006C2F98" w:rsidRPr="004A6E37">
        <w:rPr>
          <w:rFonts w:ascii="Times New Roman" w:eastAsia="Times New Roman" w:hAnsi="Times New Roman" w:cs="Times New Roman"/>
          <w:sz w:val="24"/>
          <w:szCs w:val="24"/>
          <w:lang w:eastAsia="fr-FR"/>
        </w:rPr>
        <w:t>portant l</w:t>
      </w:r>
      <w:r w:rsidRPr="004A6E37">
        <w:rPr>
          <w:rFonts w:ascii="Times New Roman" w:eastAsia="Times New Roman" w:hAnsi="Times New Roman" w:cs="Times New Roman"/>
          <w:sz w:val="24"/>
          <w:szCs w:val="24"/>
          <w:lang w:eastAsia="fr-FR"/>
        </w:rPr>
        <w:t>oi uniforme</w:t>
      </w:r>
      <w:r w:rsidRPr="004A6E37">
        <w:rPr>
          <w:rFonts w:ascii="Times New Roman" w:eastAsia="Times New Roman" w:hAnsi="Times New Roman" w:cs="Times New Roman"/>
          <w:sz w:val="24"/>
          <w:szCs w:val="24"/>
          <w:vertAlign w:val="superscript"/>
          <w:lang w:eastAsia="fr-FR"/>
        </w:rPr>
        <w:t xml:space="preserve"> </w:t>
      </w:r>
      <w:r w:rsidRPr="004A6E37">
        <w:rPr>
          <w:rFonts w:ascii="Times New Roman" w:eastAsia="Times New Roman" w:hAnsi="Times New Roman" w:cs="Times New Roman"/>
          <w:sz w:val="24"/>
          <w:szCs w:val="24"/>
          <w:lang w:eastAsia="fr-FR"/>
        </w:rPr>
        <w:t>relative à la LBC/FT. Elle est définie par</w:t>
      </w:r>
      <w:r w:rsidRPr="004A6E37">
        <w:rPr>
          <w:rFonts w:ascii="Times New Roman" w:hAnsi="Times New Roman" w:cs="Times New Roman"/>
          <w:sz w:val="24"/>
          <w:szCs w:val="24"/>
        </w:rPr>
        <w:t xml:space="preserve"> la légi</w:t>
      </w:r>
      <w:r w:rsidR="00491BBD" w:rsidRPr="004A6E37">
        <w:rPr>
          <w:rFonts w:ascii="Times New Roman" w:hAnsi="Times New Roman" w:cs="Times New Roman"/>
          <w:sz w:val="24"/>
          <w:szCs w:val="24"/>
        </w:rPr>
        <w:t>slation malienne comme étant « l</w:t>
      </w:r>
      <w:r w:rsidRPr="004A6E37">
        <w:rPr>
          <w:rFonts w:ascii="Times New Roman" w:hAnsi="Times New Roman" w:cs="Times New Roman"/>
          <w:sz w:val="24"/>
          <w:szCs w:val="24"/>
        </w:rPr>
        <w:t>’opération par laquelle un ou plusieurs constituants transfèrent des biens, des droits ou des sûretés, ou un ensemble de biens, de droits ou de sûretés, présents ou futurs, d’un ou plusieurs fiduciaires qui, les tenant séparés de leur patrimoine propre</w:t>
      </w:r>
      <w:r w:rsidR="00BD14DD" w:rsidRPr="004A6E37">
        <w:rPr>
          <w:rFonts w:ascii="Times New Roman" w:hAnsi="Times New Roman" w:cs="Times New Roman"/>
          <w:sz w:val="24"/>
          <w:szCs w:val="24"/>
        </w:rPr>
        <w:t>, agissent dans un but déterminé</w:t>
      </w:r>
      <w:r w:rsidRPr="004A6E37">
        <w:rPr>
          <w:rFonts w:ascii="Times New Roman" w:hAnsi="Times New Roman" w:cs="Times New Roman"/>
          <w:sz w:val="24"/>
          <w:szCs w:val="24"/>
        </w:rPr>
        <w:t xml:space="preserve"> au profit d'un ou plusieurs bénéficiaires ».</w:t>
      </w:r>
    </w:p>
    <w:p w14:paraId="38172F55"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fiducies et autres constructions juridiques permettent de séparer la propriété légale et la propriété effective des actifs. Il existe donc un risque que les fiducies et autres constructions juridiques soient utilisées abusivement p</w:t>
      </w:r>
      <w:r w:rsidR="00D83ED0" w:rsidRPr="004A6E37">
        <w:rPr>
          <w:rFonts w:ascii="Times New Roman" w:hAnsi="Times New Roman" w:cs="Times New Roman"/>
          <w:sz w:val="24"/>
          <w:szCs w:val="24"/>
        </w:rPr>
        <w:t>our dissimuler le Bénéficiaire E</w:t>
      </w:r>
      <w:r w:rsidRPr="004A6E37">
        <w:rPr>
          <w:rFonts w:ascii="Times New Roman" w:hAnsi="Times New Roman" w:cs="Times New Roman"/>
          <w:sz w:val="24"/>
          <w:szCs w:val="24"/>
        </w:rPr>
        <w:t xml:space="preserve">ffectif (BE) de ces actifs. En outre, l'identification du BE des actifs peut être encore plus difficile lorsque par exemple, le trust a des structures de propriété et de contrôle complexes et à plusieurs niveaux, impliquant plusieurs pays. </w:t>
      </w:r>
    </w:p>
    <w:p w14:paraId="6C7FAA51"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Il convient de souligner que la Recommandation 25 du</w:t>
      </w:r>
      <w:r w:rsidR="00C60655" w:rsidRPr="004A6E37">
        <w:rPr>
          <w:rFonts w:ascii="Times New Roman" w:hAnsi="Times New Roman" w:cs="Times New Roman"/>
          <w:sz w:val="24"/>
          <w:szCs w:val="24"/>
        </w:rPr>
        <w:t xml:space="preserve"> GAFI </w:t>
      </w:r>
      <w:r w:rsidR="007A145D" w:rsidRPr="004A6E37">
        <w:rPr>
          <w:rFonts w:ascii="Times New Roman" w:hAnsi="Times New Roman" w:cs="Times New Roman"/>
          <w:sz w:val="24"/>
          <w:szCs w:val="24"/>
        </w:rPr>
        <w:t>exige</w:t>
      </w:r>
      <w:r w:rsidR="00C60655" w:rsidRPr="004A6E37">
        <w:rPr>
          <w:rFonts w:ascii="Times New Roman" w:hAnsi="Times New Roman" w:cs="Times New Roman"/>
          <w:sz w:val="24"/>
          <w:szCs w:val="24"/>
        </w:rPr>
        <w:t xml:space="preserve"> que les</w:t>
      </w:r>
      <w:r w:rsidRPr="004A6E37">
        <w:rPr>
          <w:rFonts w:ascii="Times New Roman" w:hAnsi="Times New Roman" w:cs="Times New Roman"/>
          <w:sz w:val="24"/>
          <w:szCs w:val="24"/>
        </w:rPr>
        <w:t xml:space="preserve"> pays </w:t>
      </w:r>
      <w:r w:rsidR="00C60655" w:rsidRPr="004A6E37">
        <w:rPr>
          <w:rFonts w:ascii="Times New Roman" w:hAnsi="Times New Roman" w:cs="Times New Roman"/>
          <w:sz w:val="24"/>
          <w:szCs w:val="24"/>
        </w:rPr>
        <w:t xml:space="preserve">doivent prendre des mesures pour empêcher l’utilisation des constructions juridiques à des fins de BC/FT. </w:t>
      </w:r>
      <w:r w:rsidRPr="004A6E37">
        <w:rPr>
          <w:rFonts w:ascii="Times New Roman" w:hAnsi="Times New Roman" w:cs="Times New Roman"/>
          <w:sz w:val="24"/>
          <w:szCs w:val="24"/>
        </w:rPr>
        <w:t>Il est également à noter que les textes en vigueur au Mali n’ont pas prévu la création de constructions juridiques telles que les fiducies</w:t>
      </w:r>
      <w:r w:rsidR="00C60655" w:rsidRPr="004A6E37">
        <w:rPr>
          <w:rFonts w:ascii="Times New Roman" w:hAnsi="Times New Roman" w:cs="Times New Roman"/>
          <w:sz w:val="24"/>
          <w:szCs w:val="24"/>
        </w:rPr>
        <w:t xml:space="preserve">. Aussi, </w:t>
      </w:r>
      <w:r w:rsidRPr="004A6E37">
        <w:rPr>
          <w:rFonts w:ascii="Times New Roman" w:hAnsi="Times New Roman" w:cs="Times New Roman"/>
          <w:sz w:val="24"/>
          <w:szCs w:val="24"/>
        </w:rPr>
        <w:t xml:space="preserve">le Mali n’a </w:t>
      </w:r>
      <w:r w:rsidR="00C60655" w:rsidRPr="004A6E37">
        <w:rPr>
          <w:rFonts w:ascii="Times New Roman" w:hAnsi="Times New Roman" w:cs="Times New Roman"/>
          <w:sz w:val="24"/>
          <w:szCs w:val="24"/>
        </w:rPr>
        <w:t xml:space="preserve">pas </w:t>
      </w:r>
      <w:r w:rsidRPr="004A6E37">
        <w:rPr>
          <w:rFonts w:ascii="Times New Roman" w:hAnsi="Times New Roman" w:cs="Times New Roman"/>
          <w:sz w:val="24"/>
          <w:szCs w:val="24"/>
        </w:rPr>
        <w:t>ratifié la Convention de la Haye y relative. Cependant, il n’est pas exclu qu’une personne vivant</w:t>
      </w:r>
      <w:r w:rsidR="00300A40" w:rsidRPr="004A6E37">
        <w:rPr>
          <w:rFonts w:ascii="Times New Roman" w:hAnsi="Times New Roman" w:cs="Times New Roman"/>
          <w:sz w:val="24"/>
          <w:szCs w:val="24"/>
        </w:rPr>
        <w:t>e</w:t>
      </w:r>
      <w:r w:rsidRPr="004A6E37">
        <w:rPr>
          <w:rFonts w:ascii="Times New Roman" w:hAnsi="Times New Roman" w:cs="Times New Roman"/>
          <w:sz w:val="24"/>
          <w:szCs w:val="24"/>
        </w:rPr>
        <w:t xml:space="preserve"> sur le territoire malien puisse gérer des biens pour le compte d’un tiers vivant à l’étranger ou que des biens situés au Mali soient l’objet d’un consortium ou d’une fiducie. Aussi, les professions juridiques telles que les notaires ou les avocats, pourraient mener des activités fiduciair</w:t>
      </w:r>
      <w:r w:rsidR="00D05832" w:rsidRPr="004A6E37">
        <w:rPr>
          <w:rFonts w:ascii="Times New Roman" w:hAnsi="Times New Roman" w:cs="Times New Roman"/>
          <w:sz w:val="24"/>
          <w:szCs w:val="24"/>
        </w:rPr>
        <w:t>es. Dans ces circonstances, la l</w:t>
      </w:r>
      <w:r w:rsidRPr="004A6E37">
        <w:rPr>
          <w:rFonts w:ascii="Times New Roman" w:hAnsi="Times New Roman" w:cs="Times New Roman"/>
          <w:sz w:val="24"/>
          <w:szCs w:val="24"/>
        </w:rPr>
        <w:t xml:space="preserve">oi sur la LBC/FT </w:t>
      </w:r>
      <w:r w:rsidRPr="004A6E37">
        <w:rPr>
          <w:rFonts w:ascii="Times New Roman" w:hAnsi="Times New Roman" w:cs="Times New Roman"/>
          <w:sz w:val="24"/>
          <w:szCs w:val="24"/>
        </w:rPr>
        <w:lastRenderedPageBreak/>
        <w:t>les contraint, en tant que mandataires, de tenir toutes les informations au sujet de leurs clients, notamment de tenir des informations sur les bénéficiaires des fiducies étrangères et les parties à la fiducie.</w:t>
      </w:r>
    </w:p>
    <w:p w14:paraId="78B5C87A" w14:textId="77777777" w:rsidR="009B7F30" w:rsidRPr="004A6E37" w:rsidRDefault="006F6505" w:rsidP="0075262F">
      <w:pPr>
        <w:pStyle w:val="Titre2"/>
        <w:numPr>
          <w:ilvl w:val="0"/>
          <w:numId w:val="0"/>
        </w:numPr>
        <w:ind w:left="576" w:hanging="576"/>
        <w:rPr>
          <w:rFonts w:ascii="Times New Roman" w:hAnsi="Times New Roman" w:cs="Times New Roman"/>
          <w:b/>
          <w:color w:val="auto"/>
          <w:sz w:val="24"/>
          <w:szCs w:val="24"/>
        </w:rPr>
      </w:pPr>
      <w:bookmarkStart w:id="14" w:name="_Toc126251860"/>
      <w:r w:rsidRPr="004A6E37">
        <w:rPr>
          <w:rFonts w:ascii="Times New Roman" w:hAnsi="Times New Roman" w:cs="Times New Roman"/>
          <w:b/>
          <w:color w:val="auto"/>
          <w:sz w:val="24"/>
          <w:szCs w:val="24"/>
        </w:rPr>
        <w:t>III. Personnes morales</w:t>
      </w:r>
      <w:r w:rsidR="002E2BE8" w:rsidRPr="004A6E37">
        <w:rPr>
          <w:rFonts w:ascii="Times New Roman" w:hAnsi="Times New Roman" w:cs="Times New Roman"/>
          <w:b/>
          <w:color w:val="auto"/>
          <w:sz w:val="24"/>
          <w:szCs w:val="24"/>
        </w:rPr>
        <w:t xml:space="preserve"> et </w:t>
      </w:r>
      <w:r w:rsidR="004C20B1" w:rsidRPr="004A6E37">
        <w:rPr>
          <w:rFonts w:ascii="Times New Roman" w:hAnsi="Times New Roman" w:cs="Times New Roman"/>
          <w:b/>
          <w:color w:val="auto"/>
          <w:sz w:val="24"/>
          <w:szCs w:val="24"/>
        </w:rPr>
        <w:t>autres c</w:t>
      </w:r>
      <w:r w:rsidRPr="004A6E37">
        <w:rPr>
          <w:rFonts w:ascii="Times New Roman" w:hAnsi="Times New Roman" w:cs="Times New Roman"/>
          <w:b/>
          <w:color w:val="auto"/>
          <w:sz w:val="24"/>
          <w:szCs w:val="24"/>
        </w:rPr>
        <w:t>onstructions juridiques</w:t>
      </w:r>
      <w:bookmarkEnd w:id="14"/>
    </w:p>
    <w:p w14:paraId="70D8F59D" w14:textId="77777777" w:rsidR="00300036" w:rsidRPr="004A6E37" w:rsidRDefault="00300036" w:rsidP="00300036">
      <w:pPr>
        <w:rPr>
          <w:rFonts w:ascii="Times New Roman" w:hAnsi="Times New Roman" w:cs="Times New Roman"/>
          <w:sz w:val="6"/>
        </w:rPr>
      </w:pPr>
    </w:p>
    <w:p w14:paraId="4E538DA2"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Il est important de noter que les fiducies et les trusts ne sont pas considérés comme des personnes morales et, par conséquent, ils ne sont pas enregistrés auprès du </w:t>
      </w:r>
      <w:r w:rsidR="00830B0B" w:rsidRPr="004A6E37">
        <w:rPr>
          <w:rFonts w:ascii="Times New Roman" w:hAnsi="Times New Roman" w:cs="Times New Roman"/>
          <w:sz w:val="24"/>
          <w:szCs w:val="24"/>
        </w:rPr>
        <w:t>registre du commerce et du crédit mobilier (</w:t>
      </w:r>
      <w:r w:rsidRPr="004A6E37">
        <w:rPr>
          <w:rFonts w:ascii="Times New Roman" w:hAnsi="Times New Roman" w:cs="Times New Roman"/>
          <w:sz w:val="24"/>
          <w:szCs w:val="24"/>
        </w:rPr>
        <w:t>RCCM</w:t>
      </w:r>
      <w:r w:rsidR="00830B0B" w:rsidRPr="004A6E37">
        <w:rPr>
          <w:rFonts w:ascii="Times New Roman" w:hAnsi="Times New Roman" w:cs="Times New Roman"/>
          <w:sz w:val="24"/>
          <w:szCs w:val="24"/>
        </w:rPr>
        <w:t>)</w:t>
      </w:r>
      <w:r w:rsidRPr="004A6E37">
        <w:rPr>
          <w:rFonts w:ascii="Times New Roman" w:hAnsi="Times New Roman" w:cs="Times New Roman"/>
          <w:sz w:val="24"/>
          <w:szCs w:val="24"/>
        </w:rPr>
        <w:t xml:space="preserve">.  Par ailleurs, le droit positif malien est muet sur la question de savoir si les fiducies et les trusts doivent enregistrer certaines </w:t>
      </w:r>
      <w:r w:rsidR="003810E7" w:rsidRPr="004A6E37">
        <w:rPr>
          <w:rFonts w:ascii="Times New Roman" w:hAnsi="Times New Roman" w:cs="Times New Roman"/>
          <w:sz w:val="24"/>
          <w:szCs w:val="24"/>
        </w:rPr>
        <w:t>données personnelles sur leurs bénéficiaires effectifs</w:t>
      </w:r>
      <w:r w:rsidRPr="004A6E37">
        <w:rPr>
          <w:rFonts w:ascii="Times New Roman" w:hAnsi="Times New Roman" w:cs="Times New Roman"/>
          <w:sz w:val="24"/>
          <w:szCs w:val="24"/>
        </w:rPr>
        <w:t xml:space="preserve"> dans le RCCM. </w:t>
      </w:r>
    </w:p>
    <w:p w14:paraId="766D5498" w14:textId="77777777" w:rsidR="009D4849" w:rsidRPr="004A6E37" w:rsidRDefault="002E2BE8" w:rsidP="009D4849">
      <w:pPr>
        <w:spacing w:after="0" w:line="240" w:lineRule="auto"/>
        <w:rPr>
          <w:rFonts w:ascii="Times New Roman" w:hAnsi="Times New Roman" w:cs="Times New Roman"/>
          <w:sz w:val="24"/>
          <w:szCs w:val="24"/>
        </w:rPr>
      </w:pPr>
      <w:r w:rsidRPr="004A6E37">
        <w:rPr>
          <w:rFonts w:ascii="Times New Roman" w:hAnsi="Times New Roman" w:cs="Times New Roman"/>
          <w:sz w:val="24"/>
          <w:szCs w:val="24"/>
        </w:rPr>
        <w:br w:type="page"/>
      </w:r>
    </w:p>
    <w:p w14:paraId="5B5335C4" w14:textId="77777777" w:rsidR="009D4849" w:rsidRPr="004A6E37" w:rsidRDefault="009D4849" w:rsidP="00AD207E">
      <w:pPr>
        <w:spacing w:line="360" w:lineRule="auto"/>
        <w:jc w:val="center"/>
        <w:rPr>
          <w:rFonts w:ascii="Times New Roman" w:hAnsi="Times New Roman" w:cs="Times New Roman"/>
          <w:b/>
          <w:sz w:val="48"/>
          <w:szCs w:val="48"/>
        </w:rPr>
      </w:pPr>
    </w:p>
    <w:p w14:paraId="2242856F" w14:textId="77777777" w:rsidR="009D4849" w:rsidRPr="004A6E37" w:rsidRDefault="009D4849" w:rsidP="00AD207E">
      <w:pPr>
        <w:spacing w:line="360" w:lineRule="auto"/>
        <w:jc w:val="center"/>
        <w:rPr>
          <w:rFonts w:ascii="Times New Roman" w:hAnsi="Times New Roman" w:cs="Times New Roman"/>
          <w:b/>
          <w:sz w:val="48"/>
          <w:szCs w:val="48"/>
        </w:rPr>
      </w:pPr>
    </w:p>
    <w:p w14:paraId="6D05B602" w14:textId="77777777" w:rsidR="00E85557" w:rsidRPr="004A6E37" w:rsidRDefault="00E85557" w:rsidP="00AD207E">
      <w:pPr>
        <w:spacing w:line="360" w:lineRule="auto"/>
        <w:jc w:val="center"/>
        <w:rPr>
          <w:rFonts w:ascii="Times New Roman" w:hAnsi="Times New Roman" w:cs="Times New Roman"/>
          <w:b/>
          <w:sz w:val="52"/>
          <w:szCs w:val="52"/>
        </w:rPr>
      </w:pPr>
    </w:p>
    <w:p w14:paraId="0F245DE5" w14:textId="77777777" w:rsidR="00E85557" w:rsidRPr="004A6E37" w:rsidRDefault="00E85557" w:rsidP="00AD207E">
      <w:pPr>
        <w:spacing w:line="360" w:lineRule="auto"/>
        <w:jc w:val="center"/>
        <w:rPr>
          <w:rFonts w:ascii="Times New Roman" w:hAnsi="Times New Roman" w:cs="Times New Roman"/>
          <w:b/>
          <w:sz w:val="52"/>
          <w:szCs w:val="52"/>
        </w:rPr>
      </w:pPr>
    </w:p>
    <w:p w14:paraId="0132D4B7" w14:textId="77777777" w:rsidR="009B7F30" w:rsidRPr="004A6E37" w:rsidRDefault="000F23CF" w:rsidP="009E4DCF">
      <w:pPr>
        <w:pStyle w:val="Titre1"/>
        <w:numPr>
          <w:ilvl w:val="0"/>
          <w:numId w:val="0"/>
        </w:numPr>
        <w:pBdr>
          <w:top w:val="single" w:sz="48" w:space="1" w:color="002060" w:shadow="1"/>
          <w:left w:val="single" w:sz="48" w:space="4" w:color="002060" w:shadow="1"/>
          <w:bottom w:val="single" w:sz="48" w:space="1" w:color="002060" w:shadow="1"/>
          <w:right w:val="single" w:sz="48" w:space="4" w:color="002060" w:shadow="1"/>
        </w:pBdr>
        <w:ind w:left="432"/>
        <w:jc w:val="center"/>
        <w:rPr>
          <w:rFonts w:ascii="Times New Roman" w:hAnsi="Times New Roman" w:cs="Times New Roman"/>
          <w:b/>
          <w:color w:val="auto"/>
          <w:sz w:val="48"/>
          <w:szCs w:val="24"/>
        </w:rPr>
      </w:pPr>
      <w:bookmarkStart w:id="15" w:name="_Toc126251861"/>
      <w:r w:rsidRPr="004A6E37">
        <w:rPr>
          <w:rFonts w:ascii="Times New Roman" w:hAnsi="Times New Roman" w:cs="Times New Roman"/>
          <w:b/>
          <w:color w:val="auto"/>
          <w:sz w:val="48"/>
          <w:szCs w:val="24"/>
        </w:rPr>
        <w:t>DEUXIEME PARTIE : ETAT DES LIEUX</w:t>
      </w:r>
      <w:bookmarkEnd w:id="15"/>
    </w:p>
    <w:p w14:paraId="16171EA4" w14:textId="77777777" w:rsidR="00392744" w:rsidRPr="004A6E37" w:rsidRDefault="00392744" w:rsidP="004B2C6F">
      <w:pPr>
        <w:spacing w:after="0" w:line="240" w:lineRule="auto"/>
        <w:jc w:val="both"/>
        <w:rPr>
          <w:rFonts w:ascii="Times New Roman" w:hAnsi="Times New Roman" w:cs="Times New Roman"/>
          <w:b/>
          <w:sz w:val="52"/>
          <w:szCs w:val="52"/>
        </w:rPr>
      </w:pPr>
    </w:p>
    <w:p w14:paraId="0FFF28DD" w14:textId="77777777" w:rsidR="00392744" w:rsidRPr="004A6E37" w:rsidRDefault="00392744" w:rsidP="004B2C6F">
      <w:pPr>
        <w:spacing w:after="0" w:line="240" w:lineRule="auto"/>
        <w:jc w:val="both"/>
        <w:rPr>
          <w:rFonts w:ascii="Times New Roman" w:hAnsi="Times New Roman" w:cs="Times New Roman"/>
          <w:b/>
          <w:sz w:val="52"/>
          <w:szCs w:val="52"/>
        </w:rPr>
      </w:pPr>
    </w:p>
    <w:p w14:paraId="4ACF5680" w14:textId="77777777" w:rsidR="00392744" w:rsidRPr="004A6E37" w:rsidRDefault="00392744" w:rsidP="004B2C6F">
      <w:pPr>
        <w:spacing w:after="0" w:line="240" w:lineRule="auto"/>
        <w:jc w:val="both"/>
        <w:rPr>
          <w:rFonts w:ascii="Times New Roman" w:hAnsi="Times New Roman" w:cs="Times New Roman"/>
          <w:b/>
          <w:sz w:val="52"/>
          <w:szCs w:val="52"/>
        </w:rPr>
      </w:pPr>
    </w:p>
    <w:p w14:paraId="0F365524" w14:textId="77777777" w:rsidR="00392744" w:rsidRPr="004A6E37" w:rsidRDefault="00392744" w:rsidP="004B2C6F">
      <w:pPr>
        <w:spacing w:after="0" w:line="240" w:lineRule="auto"/>
        <w:jc w:val="both"/>
        <w:rPr>
          <w:rFonts w:ascii="Times New Roman" w:hAnsi="Times New Roman" w:cs="Times New Roman"/>
          <w:b/>
          <w:sz w:val="52"/>
          <w:szCs w:val="52"/>
        </w:rPr>
      </w:pPr>
    </w:p>
    <w:p w14:paraId="326CFFC6" w14:textId="77777777" w:rsidR="00392744" w:rsidRPr="004A6E37" w:rsidRDefault="00392744" w:rsidP="004B2C6F">
      <w:pPr>
        <w:spacing w:after="0" w:line="240" w:lineRule="auto"/>
        <w:jc w:val="both"/>
        <w:rPr>
          <w:rFonts w:ascii="Times New Roman" w:hAnsi="Times New Roman" w:cs="Times New Roman"/>
          <w:b/>
          <w:sz w:val="52"/>
          <w:szCs w:val="52"/>
        </w:rPr>
      </w:pPr>
    </w:p>
    <w:p w14:paraId="1A9D2387" w14:textId="77777777" w:rsidR="00392744" w:rsidRPr="004A6E37" w:rsidRDefault="00392744" w:rsidP="004B2C6F">
      <w:pPr>
        <w:spacing w:after="0" w:line="240" w:lineRule="auto"/>
        <w:jc w:val="both"/>
        <w:rPr>
          <w:rFonts w:ascii="Times New Roman" w:hAnsi="Times New Roman" w:cs="Times New Roman"/>
          <w:b/>
          <w:sz w:val="52"/>
          <w:szCs w:val="52"/>
        </w:rPr>
      </w:pPr>
    </w:p>
    <w:p w14:paraId="1968A84B" w14:textId="77777777" w:rsidR="00392744" w:rsidRPr="004A6E37" w:rsidRDefault="00392744" w:rsidP="004B2C6F">
      <w:pPr>
        <w:spacing w:after="0" w:line="240" w:lineRule="auto"/>
        <w:jc w:val="both"/>
        <w:rPr>
          <w:rFonts w:ascii="Times New Roman" w:hAnsi="Times New Roman" w:cs="Times New Roman"/>
          <w:b/>
          <w:sz w:val="52"/>
          <w:szCs w:val="52"/>
        </w:rPr>
      </w:pPr>
    </w:p>
    <w:p w14:paraId="5F0D0C34" w14:textId="77777777" w:rsidR="00392744" w:rsidRPr="004A6E37" w:rsidRDefault="00392744" w:rsidP="004B2C6F">
      <w:pPr>
        <w:spacing w:after="0" w:line="240" w:lineRule="auto"/>
        <w:jc w:val="both"/>
        <w:rPr>
          <w:rFonts w:ascii="Times New Roman" w:hAnsi="Times New Roman" w:cs="Times New Roman"/>
          <w:b/>
          <w:sz w:val="52"/>
          <w:szCs w:val="52"/>
        </w:rPr>
      </w:pPr>
    </w:p>
    <w:p w14:paraId="129A0142" w14:textId="77777777" w:rsidR="00392744" w:rsidRPr="004A6E37" w:rsidRDefault="00392744" w:rsidP="004B2C6F">
      <w:pPr>
        <w:spacing w:after="0" w:line="240" w:lineRule="auto"/>
        <w:jc w:val="both"/>
        <w:rPr>
          <w:rFonts w:ascii="Times New Roman" w:hAnsi="Times New Roman" w:cs="Times New Roman"/>
          <w:b/>
          <w:sz w:val="52"/>
          <w:szCs w:val="52"/>
        </w:rPr>
      </w:pPr>
    </w:p>
    <w:p w14:paraId="392EF6B3" w14:textId="77777777" w:rsidR="00392744" w:rsidRPr="004A6E37" w:rsidRDefault="00392744" w:rsidP="004B2C6F">
      <w:pPr>
        <w:spacing w:after="0" w:line="240" w:lineRule="auto"/>
        <w:jc w:val="both"/>
        <w:rPr>
          <w:rFonts w:ascii="Times New Roman" w:hAnsi="Times New Roman" w:cs="Times New Roman"/>
          <w:b/>
          <w:sz w:val="52"/>
          <w:szCs w:val="52"/>
        </w:rPr>
      </w:pPr>
    </w:p>
    <w:p w14:paraId="59BB13EE" w14:textId="77777777" w:rsidR="00392744" w:rsidRPr="004A6E37" w:rsidRDefault="00392744" w:rsidP="004B2C6F">
      <w:pPr>
        <w:spacing w:after="0" w:line="240" w:lineRule="auto"/>
        <w:jc w:val="both"/>
        <w:rPr>
          <w:rFonts w:ascii="Times New Roman" w:hAnsi="Times New Roman" w:cs="Times New Roman"/>
          <w:b/>
          <w:sz w:val="52"/>
          <w:szCs w:val="52"/>
        </w:rPr>
      </w:pPr>
    </w:p>
    <w:p w14:paraId="78F888AB" w14:textId="77777777" w:rsidR="00392744" w:rsidRPr="004A6E37" w:rsidRDefault="00392744" w:rsidP="004B2C6F">
      <w:pPr>
        <w:spacing w:after="0" w:line="240" w:lineRule="auto"/>
        <w:jc w:val="both"/>
        <w:rPr>
          <w:rFonts w:ascii="Times New Roman" w:hAnsi="Times New Roman" w:cs="Times New Roman"/>
          <w:b/>
          <w:sz w:val="52"/>
          <w:szCs w:val="52"/>
        </w:rPr>
      </w:pPr>
    </w:p>
    <w:p w14:paraId="71A007F2" w14:textId="77777777" w:rsidR="00392744" w:rsidRPr="004A6E37" w:rsidRDefault="00392744" w:rsidP="004B2C6F">
      <w:pPr>
        <w:spacing w:after="0" w:line="240" w:lineRule="auto"/>
        <w:jc w:val="both"/>
        <w:rPr>
          <w:rFonts w:ascii="Times New Roman" w:hAnsi="Times New Roman" w:cs="Times New Roman"/>
          <w:b/>
          <w:sz w:val="52"/>
          <w:szCs w:val="52"/>
        </w:rPr>
      </w:pPr>
    </w:p>
    <w:p w14:paraId="235DCA9F" w14:textId="77777777" w:rsidR="0075262F" w:rsidRPr="004A6E37" w:rsidRDefault="0075262F" w:rsidP="004B2C6F">
      <w:pPr>
        <w:spacing w:after="0" w:line="240" w:lineRule="auto"/>
        <w:jc w:val="both"/>
        <w:rPr>
          <w:rFonts w:ascii="Times New Roman" w:hAnsi="Times New Roman" w:cs="Times New Roman"/>
          <w:b/>
          <w:sz w:val="52"/>
          <w:szCs w:val="52"/>
        </w:rPr>
      </w:pPr>
    </w:p>
    <w:p w14:paraId="60330B67" w14:textId="77777777" w:rsidR="0075262F" w:rsidRPr="004A6E37" w:rsidRDefault="0075262F" w:rsidP="004B2C6F">
      <w:pPr>
        <w:spacing w:after="0" w:line="240" w:lineRule="auto"/>
        <w:jc w:val="both"/>
        <w:rPr>
          <w:rFonts w:ascii="Times New Roman" w:hAnsi="Times New Roman" w:cs="Times New Roman"/>
          <w:b/>
          <w:sz w:val="52"/>
          <w:szCs w:val="52"/>
        </w:rPr>
      </w:pPr>
    </w:p>
    <w:p w14:paraId="21495FDD" w14:textId="77777777" w:rsidR="009B7F30" w:rsidRPr="004A6E37" w:rsidRDefault="00AF6ACD" w:rsidP="0075262F">
      <w:pPr>
        <w:pStyle w:val="Titre2"/>
        <w:numPr>
          <w:ilvl w:val="0"/>
          <w:numId w:val="0"/>
        </w:numPr>
        <w:ind w:left="576" w:hanging="576"/>
        <w:rPr>
          <w:rFonts w:ascii="Times New Roman" w:hAnsi="Times New Roman" w:cs="Times New Roman"/>
          <w:b/>
          <w:color w:val="auto"/>
          <w:sz w:val="24"/>
          <w:szCs w:val="24"/>
        </w:rPr>
      </w:pPr>
      <w:r w:rsidRPr="004A6E37">
        <w:rPr>
          <w:rFonts w:ascii="Times New Roman" w:hAnsi="Times New Roman" w:cs="Times New Roman"/>
          <w:b/>
          <w:color w:val="auto"/>
          <w:sz w:val="24"/>
          <w:szCs w:val="24"/>
        </w:rPr>
        <w:t xml:space="preserve"> </w:t>
      </w:r>
      <w:bookmarkStart w:id="16" w:name="_Toc126251862"/>
      <w:r w:rsidR="004A0160" w:rsidRPr="004A6E37">
        <w:rPr>
          <w:rFonts w:ascii="Times New Roman" w:hAnsi="Times New Roman" w:cs="Times New Roman"/>
          <w:b/>
          <w:color w:val="auto"/>
          <w:sz w:val="24"/>
          <w:szCs w:val="24"/>
        </w:rPr>
        <w:t>I</w:t>
      </w:r>
      <w:r w:rsidRPr="004A6E37">
        <w:rPr>
          <w:rFonts w:ascii="Times New Roman" w:hAnsi="Times New Roman" w:cs="Times New Roman"/>
          <w:b/>
          <w:color w:val="auto"/>
          <w:sz w:val="24"/>
          <w:szCs w:val="24"/>
        </w:rPr>
        <w:t> : CADRE JURIDIQUE ET INSTITUTIONNEL</w:t>
      </w:r>
      <w:bookmarkEnd w:id="16"/>
    </w:p>
    <w:p w14:paraId="16EF54EA" w14:textId="77777777" w:rsidR="00354659" w:rsidRPr="004A6E37" w:rsidRDefault="00354659" w:rsidP="006F6505">
      <w:pPr>
        <w:spacing w:after="0" w:line="240" w:lineRule="auto"/>
        <w:rPr>
          <w:rFonts w:ascii="Times New Roman" w:hAnsi="Times New Roman" w:cs="Times New Roman"/>
          <w:b/>
          <w:sz w:val="24"/>
          <w:szCs w:val="24"/>
        </w:rPr>
      </w:pPr>
    </w:p>
    <w:p w14:paraId="76994E40" w14:textId="77777777" w:rsidR="009B7F30" w:rsidRPr="004A6E37" w:rsidRDefault="00EC747F" w:rsidP="00920BFE">
      <w:pPr>
        <w:pStyle w:val="Paragraphedeliste"/>
        <w:numPr>
          <w:ilvl w:val="1"/>
          <w:numId w:val="3"/>
        </w:numPr>
        <w:outlineLvl w:val="2"/>
        <w:rPr>
          <w:rFonts w:ascii="Times New Roman" w:hAnsi="Times New Roman" w:cs="Times New Roman"/>
          <w:b/>
          <w:sz w:val="24"/>
          <w:szCs w:val="24"/>
        </w:rPr>
      </w:pPr>
      <w:r w:rsidRPr="004A6E37">
        <w:rPr>
          <w:rFonts w:ascii="Times New Roman" w:hAnsi="Times New Roman" w:cs="Times New Roman"/>
          <w:b/>
          <w:sz w:val="24"/>
          <w:szCs w:val="24"/>
        </w:rPr>
        <w:t xml:space="preserve"> </w:t>
      </w:r>
      <w:bookmarkStart w:id="17" w:name="_Toc126251863"/>
      <w:r w:rsidR="00DC2505" w:rsidRPr="004A6E37">
        <w:rPr>
          <w:rFonts w:ascii="Times New Roman" w:hAnsi="Times New Roman" w:cs="Times New Roman"/>
          <w:b/>
          <w:sz w:val="24"/>
          <w:szCs w:val="24"/>
        </w:rPr>
        <w:t>Textes législatifs</w:t>
      </w:r>
      <w:r w:rsidR="002E2BE8" w:rsidRPr="004A6E37">
        <w:rPr>
          <w:rFonts w:ascii="Times New Roman" w:hAnsi="Times New Roman" w:cs="Times New Roman"/>
          <w:b/>
          <w:sz w:val="24"/>
          <w:szCs w:val="24"/>
        </w:rPr>
        <w:t xml:space="preserve"> et réglementaires</w:t>
      </w:r>
      <w:bookmarkEnd w:id="17"/>
    </w:p>
    <w:p w14:paraId="725BE4C2" w14:textId="77777777" w:rsidR="00F0293B" w:rsidRPr="004A6E37" w:rsidRDefault="00F0293B" w:rsidP="00F0293B">
      <w:pPr>
        <w:pStyle w:val="Paragraphedeliste"/>
        <w:ind w:left="360"/>
        <w:outlineLvl w:val="2"/>
        <w:rPr>
          <w:rFonts w:ascii="Times New Roman" w:hAnsi="Times New Roman" w:cs="Times New Roman"/>
          <w:b/>
          <w:sz w:val="24"/>
          <w:szCs w:val="24"/>
        </w:rPr>
      </w:pPr>
    </w:p>
    <w:p w14:paraId="4A63DBE4" w14:textId="77777777" w:rsidR="009B7F30" w:rsidRPr="004A6E37" w:rsidRDefault="002E2BE8" w:rsidP="00920BFE">
      <w:pPr>
        <w:pStyle w:val="Paragraphedeliste"/>
        <w:numPr>
          <w:ilvl w:val="2"/>
          <w:numId w:val="3"/>
        </w:numPr>
        <w:rPr>
          <w:rFonts w:ascii="Times New Roman" w:hAnsi="Times New Roman" w:cs="Times New Roman"/>
          <w:b/>
          <w:sz w:val="24"/>
          <w:szCs w:val="24"/>
        </w:rPr>
      </w:pPr>
      <w:r w:rsidRPr="004A6E37">
        <w:rPr>
          <w:rFonts w:ascii="Times New Roman" w:hAnsi="Times New Roman" w:cs="Times New Roman"/>
          <w:b/>
          <w:sz w:val="24"/>
          <w:szCs w:val="24"/>
        </w:rPr>
        <w:t xml:space="preserve">Textes </w:t>
      </w:r>
    </w:p>
    <w:p w14:paraId="73F78594" w14:textId="77777777" w:rsidR="009B7F30" w:rsidRPr="004A6E37" w:rsidRDefault="00B6144B" w:rsidP="00920BFE">
      <w:pPr>
        <w:pStyle w:val="Paragraphedeliste"/>
        <w:numPr>
          <w:ilvl w:val="0"/>
          <w:numId w:val="20"/>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Acte uniforme</w:t>
      </w:r>
      <w:r w:rsidR="002E2BE8" w:rsidRPr="004A6E37">
        <w:rPr>
          <w:rFonts w:ascii="Times New Roman" w:hAnsi="Times New Roman" w:cs="Times New Roman"/>
          <w:sz w:val="24"/>
          <w:szCs w:val="24"/>
        </w:rPr>
        <w:t xml:space="preserve"> révis</w:t>
      </w:r>
      <w:r w:rsidR="00153674" w:rsidRPr="004A6E37">
        <w:rPr>
          <w:rFonts w:ascii="Times New Roman" w:hAnsi="Times New Roman" w:cs="Times New Roman"/>
          <w:sz w:val="24"/>
          <w:szCs w:val="24"/>
        </w:rPr>
        <w:t>é relatif au droit des sociétés</w:t>
      </w:r>
      <w:r w:rsidR="002E2BE8" w:rsidRPr="004A6E37">
        <w:rPr>
          <w:rFonts w:ascii="Times New Roman" w:hAnsi="Times New Roman" w:cs="Times New Roman"/>
          <w:sz w:val="24"/>
          <w:szCs w:val="24"/>
        </w:rPr>
        <w:t xml:space="preserve"> commerciales et du regroupement d’</w:t>
      </w:r>
      <w:r w:rsidR="00354659" w:rsidRPr="004A6E37">
        <w:rPr>
          <w:rFonts w:ascii="Times New Roman" w:hAnsi="Times New Roman" w:cs="Times New Roman"/>
          <w:sz w:val="24"/>
          <w:szCs w:val="24"/>
        </w:rPr>
        <w:t>intérêt</w:t>
      </w:r>
      <w:r w:rsidRPr="004A6E37">
        <w:rPr>
          <w:rFonts w:ascii="Times New Roman" w:hAnsi="Times New Roman" w:cs="Times New Roman"/>
          <w:sz w:val="24"/>
          <w:szCs w:val="24"/>
        </w:rPr>
        <w:t xml:space="preserve"> économique</w:t>
      </w:r>
      <w:r w:rsidR="00C72EB8" w:rsidRPr="004A6E37">
        <w:rPr>
          <w:rFonts w:ascii="Times New Roman" w:hAnsi="Times New Roman" w:cs="Times New Roman"/>
          <w:sz w:val="24"/>
          <w:szCs w:val="24"/>
        </w:rPr>
        <w:t xml:space="preserve"> de</w:t>
      </w:r>
      <w:r w:rsidR="006A2512" w:rsidRPr="004A6E37">
        <w:rPr>
          <w:rFonts w:ascii="Times New Roman" w:hAnsi="Times New Roman" w:cs="Times New Roman"/>
          <w:sz w:val="24"/>
          <w:szCs w:val="24"/>
        </w:rPr>
        <w:t xml:space="preserve"> l’Acte Uniforme de</w:t>
      </w:r>
      <w:r w:rsidR="002E2BE8" w:rsidRPr="004A6E37">
        <w:rPr>
          <w:rFonts w:ascii="Times New Roman" w:hAnsi="Times New Roman" w:cs="Times New Roman"/>
          <w:sz w:val="24"/>
          <w:szCs w:val="24"/>
        </w:rPr>
        <w:t xml:space="preserve"> </w:t>
      </w:r>
      <w:r w:rsidR="00C72EB8" w:rsidRPr="004A6E37">
        <w:rPr>
          <w:rFonts w:ascii="Times New Roman" w:hAnsi="Times New Roman" w:cs="Times New Roman"/>
          <w:sz w:val="24"/>
          <w:szCs w:val="24"/>
        </w:rPr>
        <w:t>l’Organisation pour l’Harmonisation en Afrique du Droit des Affaires (</w:t>
      </w:r>
      <w:r w:rsidR="002E2BE8" w:rsidRPr="004A6E37">
        <w:rPr>
          <w:rFonts w:ascii="Times New Roman" w:hAnsi="Times New Roman" w:cs="Times New Roman"/>
          <w:sz w:val="24"/>
          <w:szCs w:val="24"/>
        </w:rPr>
        <w:t>OHAD</w:t>
      </w:r>
      <w:r w:rsidR="00C72EB8" w:rsidRPr="004A6E37">
        <w:rPr>
          <w:rFonts w:ascii="Times New Roman" w:hAnsi="Times New Roman" w:cs="Times New Roman"/>
          <w:sz w:val="24"/>
          <w:szCs w:val="24"/>
        </w:rPr>
        <w:t>A)</w:t>
      </w:r>
      <w:r w:rsidR="00FE74BC" w:rsidRPr="004A6E37">
        <w:rPr>
          <w:rFonts w:ascii="Times New Roman" w:hAnsi="Times New Roman" w:cs="Times New Roman"/>
          <w:sz w:val="24"/>
          <w:szCs w:val="24"/>
        </w:rPr>
        <w:t xml:space="preserve"> adopté le 30 janvier </w:t>
      </w:r>
      <w:r w:rsidR="002E2BE8" w:rsidRPr="004A6E37">
        <w:rPr>
          <w:rFonts w:ascii="Times New Roman" w:hAnsi="Times New Roman" w:cs="Times New Roman"/>
          <w:sz w:val="24"/>
          <w:szCs w:val="24"/>
        </w:rPr>
        <w:t xml:space="preserve">2014 à </w:t>
      </w:r>
      <w:r w:rsidR="007A145D" w:rsidRPr="004A6E37">
        <w:rPr>
          <w:rFonts w:ascii="Times New Roman" w:hAnsi="Times New Roman" w:cs="Times New Roman"/>
          <w:sz w:val="24"/>
          <w:szCs w:val="24"/>
        </w:rPr>
        <w:t>Ouagadougou ;</w:t>
      </w:r>
    </w:p>
    <w:p w14:paraId="79CC711A" w14:textId="77777777" w:rsidR="009B7F30" w:rsidRPr="004A6E37" w:rsidRDefault="002E2BE8" w:rsidP="00920BFE">
      <w:pPr>
        <w:pStyle w:val="Paragraphedeliste"/>
        <w:numPr>
          <w:ilvl w:val="0"/>
          <w:numId w:val="20"/>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Code de commerce du </w:t>
      </w:r>
      <w:r w:rsidR="007A145D" w:rsidRPr="004A6E37">
        <w:rPr>
          <w:rFonts w:ascii="Times New Roman" w:hAnsi="Times New Roman" w:cs="Times New Roman"/>
          <w:sz w:val="24"/>
          <w:szCs w:val="24"/>
        </w:rPr>
        <w:t>Mali ;</w:t>
      </w:r>
    </w:p>
    <w:p w14:paraId="331BF9D8" w14:textId="77777777" w:rsidR="009B7F30" w:rsidRPr="004A6E37" w:rsidRDefault="002E2BE8" w:rsidP="00920BFE">
      <w:pPr>
        <w:pStyle w:val="Paragraphedeliste"/>
        <w:numPr>
          <w:ilvl w:val="0"/>
          <w:numId w:val="20"/>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Loi n° 2016-008 du 17 mars 2016 portant loi uniforme relative à la lutte contre le blanchiment de capitaux </w:t>
      </w:r>
      <w:r w:rsidR="00A45B45" w:rsidRPr="004A6E37">
        <w:rPr>
          <w:rFonts w:ascii="Times New Roman" w:hAnsi="Times New Roman" w:cs="Times New Roman"/>
          <w:sz w:val="24"/>
          <w:szCs w:val="24"/>
        </w:rPr>
        <w:t xml:space="preserve">et le financement du </w:t>
      </w:r>
      <w:r w:rsidR="007A145D" w:rsidRPr="004A6E37">
        <w:rPr>
          <w:rFonts w:ascii="Times New Roman" w:hAnsi="Times New Roman" w:cs="Times New Roman"/>
          <w:sz w:val="24"/>
          <w:szCs w:val="24"/>
        </w:rPr>
        <w:t>terrorisme ;</w:t>
      </w:r>
    </w:p>
    <w:p w14:paraId="534C8FA3" w14:textId="77777777" w:rsidR="00A45B45" w:rsidRPr="004A6E37" w:rsidRDefault="00FE74BC" w:rsidP="00920BFE">
      <w:pPr>
        <w:pStyle w:val="Paragraphedeliste"/>
        <w:numPr>
          <w:ilvl w:val="0"/>
          <w:numId w:val="20"/>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Décret</w:t>
      </w:r>
      <w:r w:rsidR="00A45B45" w:rsidRPr="004A6E37">
        <w:rPr>
          <w:rFonts w:ascii="Times New Roman" w:hAnsi="Times New Roman" w:cs="Times New Roman"/>
          <w:sz w:val="24"/>
          <w:szCs w:val="24"/>
        </w:rPr>
        <w:t xml:space="preserve"> n°08-276 /P-RM du 13 mai 2008, modifié qui fixe les formalités administratives de création d’entreprise par le guichet unique au sein de l’agence pour la promotion des investissements au Mali (API-</w:t>
      </w:r>
      <w:r w:rsidR="00765351" w:rsidRPr="004A6E37">
        <w:rPr>
          <w:rFonts w:ascii="Times New Roman" w:hAnsi="Times New Roman" w:cs="Times New Roman"/>
          <w:sz w:val="24"/>
          <w:szCs w:val="24"/>
        </w:rPr>
        <w:t>MALI</w:t>
      </w:r>
      <w:r w:rsidR="00A45B45" w:rsidRPr="004A6E37">
        <w:rPr>
          <w:rFonts w:ascii="Times New Roman" w:hAnsi="Times New Roman" w:cs="Times New Roman"/>
          <w:sz w:val="24"/>
          <w:szCs w:val="24"/>
        </w:rPr>
        <w:t>).</w:t>
      </w:r>
    </w:p>
    <w:p w14:paraId="3B2F3496" w14:textId="77777777" w:rsidR="009B7F30" w:rsidRPr="004A6E37" w:rsidRDefault="002E2BE8">
      <w:pPr>
        <w:pStyle w:val="Paragraphedeliste"/>
        <w:ind w:left="360"/>
        <w:rPr>
          <w:rFonts w:ascii="Times New Roman" w:hAnsi="Times New Roman" w:cs="Times New Roman"/>
          <w:b/>
          <w:sz w:val="24"/>
          <w:szCs w:val="24"/>
        </w:rPr>
      </w:pPr>
      <w:r w:rsidRPr="004A6E37">
        <w:rPr>
          <w:rFonts w:ascii="Times New Roman" w:hAnsi="Times New Roman" w:cs="Times New Roman"/>
          <w:b/>
          <w:sz w:val="24"/>
          <w:szCs w:val="24"/>
        </w:rPr>
        <w:t>1.1.2. Analyse du cadre juridique</w:t>
      </w:r>
    </w:p>
    <w:p w14:paraId="1D012633" w14:textId="77777777" w:rsidR="009B7F30" w:rsidRPr="004A6E37" w:rsidRDefault="00E37862" w:rsidP="009D4849">
      <w:pPr>
        <w:ind w:left="708"/>
        <w:rPr>
          <w:rFonts w:ascii="Times New Roman" w:hAnsi="Times New Roman" w:cs="Times New Roman"/>
          <w:sz w:val="24"/>
          <w:szCs w:val="24"/>
        </w:rPr>
      </w:pPr>
      <w:r w:rsidRPr="004A6E37">
        <w:rPr>
          <w:rFonts w:ascii="Times New Roman" w:hAnsi="Times New Roman" w:cs="Times New Roman"/>
          <w:b/>
          <w:sz w:val="24"/>
          <w:szCs w:val="24"/>
        </w:rPr>
        <w:t xml:space="preserve">a) </w:t>
      </w:r>
      <w:r w:rsidR="002E2BE8" w:rsidRPr="004A6E37">
        <w:rPr>
          <w:rFonts w:ascii="Times New Roman" w:hAnsi="Times New Roman" w:cs="Times New Roman"/>
          <w:b/>
          <w:sz w:val="24"/>
          <w:szCs w:val="24"/>
        </w:rPr>
        <w:t xml:space="preserve">Traitement et réponses aux risques de BC/FT posés par les personnes morales établies au Mali  </w:t>
      </w:r>
    </w:p>
    <w:p w14:paraId="502345D9" w14:textId="77777777" w:rsidR="009B7F30" w:rsidRPr="004A6E37" w:rsidRDefault="002E2BE8">
      <w:pPr>
        <w:spacing w:line="360" w:lineRule="auto"/>
        <w:jc w:val="both"/>
        <w:rPr>
          <w:rFonts w:ascii="Times New Roman" w:hAnsi="Times New Roman" w:cs="Times New Roman"/>
          <w:b/>
          <w:sz w:val="24"/>
          <w:szCs w:val="24"/>
        </w:rPr>
      </w:pPr>
      <w:r w:rsidRPr="004A6E37">
        <w:rPr>
          <w:rFonts w:ascii="Times New Roman" w:hAnsi="Times New Roman" w:cs="Times New Roman"/>
          <w:sz w:val="24"/>
          <w:szCs w:val="24"/>
        </w:rPr>
        <w:t>En politique criminelle</w:t>
      </w:r>
      <w:r w:rsidRPr="004A6E37">
        <w:rPr>
          <w:rStyle w:val="Appelnotedebasdep"/>
          <w:rFonts w:ascii="Times New Roman" w:hAnsi="Times New Roman" w:cs="Times New Roman"/>
          <w:sz w:val="24"/>
          <w:szCs w:val="24"/>
        </w:rPr>
        <w:footnoteReference w:id="1"/>
      </w:r>
      <w:r w:rsidR="00836C61" w:rsidRPr="004A6E37">
        <w:rPr>
          <w:rFonts w:ascii="Times New Roman" w:hAnsi="Times New Roman" w:cs="Times New Roman"/>
          <w:sz w:val="24"/>
          <w:szCs w:val="24"/>
        </w:rPr>
        <w:t>, «</w:t>
      </w:r>
      <w:r w:rsidR="00AD2293" w:rsidRPr="004A6E37">
        <w:rPr>
          <w:rFonts w:ascii="Times New Roman" w:hAnsi="Times New Roman" w:cs="Times New Roman"/>
          <w:sz w:val="24"/>
          <w:szCs w:val="24"/>
        </w:rPr>
        <w:t xml:space="preserve"> </w:t>
      </w:r>
      <w:r w:rsidRPr="004A6E37">
        <w:rPr>
          <w:rFonts w:ascii="Times New Roman" w:hAnsi="Times New Roman" w:cs="Times New Roman"/>
          <w:sz w:val="24"/>
          <w:szCs w:val="24"/>
        </w:rPr>
        <w:t>traiter</w:t>
      </w:r>
      <w:r w:rsidR="00AD2293" w:rsidRPr="004A6E37">
        <w:rPr>
          <w:rFonts w:ascii="Times New Roman" w:hAnsi="Times New Roman" w:cs="Times New Roman"/>
          <w:sz w:val="24"/>
          <w:szCs w:val="24"/>
        </w:rPr>
        <w:t xml:space="preserve"> </w:t>
      </w:r>
      <w:r w:rsidRPr="004A6E37">
        <w:rPr>
          <w:rFonts w:ascii="Times New Roman" w:hAnsi="Times New Roman" w:cs="Times New Roman"/>
          <w:sz w:val="24"/>
          <w:szCs w:val="24"/>
        </w:rPr>
        <w:t>» un phénomène criminel cons</w:t>
      </w:r>
      <w:r w:rsidR="00836C61" w:rsidRPr="004A6E37">
        <w:rPr>
          <w:rFonts w:ascii="Times New Roman" w:hAnsi="Times New Roman" w:cs="Times New Roman"/>
          <w:sz w:val="24"/>
          <w:szCs w:val="24"/>
        </w:rPr>
        <w:t>iste à y apporter une réponse «</w:t>
      </w:r>
      <w:r w:rsidR="00AD2293" w:rsidRPr="004A6E37">
        <w:rPr>
          <w:rFonts w:ascii="Times New Roman" w:hAnsi="Times New Roman" w:cs="Times New Roman"/>
          <w:sz w:val="24"/>
          <w:szCs w:val="24"/>
        </w:rPr>
        <w:t xml:space="preserve"> </w:t>
      </w:r>
      <w:r w:rsidRPr="004A6E37">
        <w:rPr>
          <w:rFonts w:ascii="Times New Roman" w:hAnsi="Times New Roman" w:cs="Times New Roman"/>
          <w:sz w:val="24"/>
          <w:szCs w:val="24"/>
        </w:rPr>
        <w:t>organisée, voulue ou acceptée, en tout cas codée par la société »</w:t>
      </w:r>
      <w:r w:rsidRPr="004A6E37">
        <w:rPr>
          <w:rStyle w:val="Appelnotedebasdep"/>
          <w:rFonts w:ascii="Times New Roman" w:hAnsi="Times New Roman" w:cs="Times New Roman"/>
          <w:sz w:val="24"/>
          <w:szCs w:val="24"/>
        </w:rPr>
        <w:footnoteReference w:id="2"/>
      </w:r>
      <w:r w:rsidRPr="004A6E37">
        <w:rPr>
          <w:rFonts w:ascii="Times New Roman" w:hAnsi="Times New Roman" w:cs="Times New Roman"/>
          <w:sz w:val="24"/>
          <w:szCs w:val="24"/>
        </w:rPr>
        <w:t>. Ainsi, dans un contexte de mutation et de bouleversement du champ pénal suscité par l’avènement du terrorisme et l’accroissement du risque de BC/FT, la problématique du traitement de ces questions renvoie à la stratégie de recherche d’une réponse adaptée à ces phénomènes. A côté des réponses étatiques (</w:t>
      </w:r>
      <w:r w:rsidR="0091282C" w:rsidRPr="004A6E37">
        <w:rPr>
          <w:rFonts w:ascii="Times New Roman" w:hAnsi="Times New Roman" w:cs="Times New Roman"/>
          <w:sz w:val="24"/>
          <w:szCs w:val="24"/>
        </w:rPr>
        <w:t xml:space="preserve">administratives, </w:t>
      </w:r>
      <w:r w:rsidRPr="004A6E37">
        <w:rPr>
          <w:rFonts w:ascii="Times New Roman" w:hAnsi="Times New Roman" w:cs="Times New Roman"/>
          <w:sz w:val="24"/>
          <w:szCs w:val="24"/>
        </w:rPr>
        <w:t>législatives</w:t>
      </w:r>
      <w:r w:rsidR="0091282C" w:rsidRPr="004A6E37">
        <w:rPr>
          <w:rFonts w:ascii="Times New Roman" w:hAnsi="Times New Roman" w:cs="Times New Roman"/>
          <w:sz w:val="24"/>
          <w:szCs w:val="24"/>
        </w:rPr>
        <w:t xml:space="preserve"> et</w:t>
      </w:r>
      <w:r w:rsidRPr="004A6E37">
        <w:rPr>
          <w:rFonts w:ascii="Times New Roman" w:hAnsi="Times New Roman" w:cs="Times New Roman"/>
          <w:sz w:val="24"/>
          <w:szCs w:val="24"/>
        </w:rPr>
        <w:t xml:space="preserve"> judiciaires), des réponses sociéta</w:t>
      </w:r>
      <w:r w:rsidR="0076590C" w:rsidRPr="004A6E37">
        <w:rPr>
          <w:rFonts w:ascii="Times New Roman" w:hAnsi="Times New Roman" w:cs="Times New Roman"/>
          <w:sz w:val="24"/>
          <w:szCs w:val="24"/>
        </w:rPr>
        <w:t>les (sensibilisation, éducation</w:t>
      </w:r>
      <w:r w:rsidRPr="004A6E37">
        <w:rPr>
          <w:rFonts w:ascii="Times New Roman" w:hAnsi="Times New Roman" w:cs="Times New Roman"/>
          <w:sz w:val="24"/>
          <w:szCs w:val="24"/>
        </w:rPr>
        <w:t xml:space="preserve"> et plaidoyer) devront être apportées à ces formes de criminalité.</w:t>
      </w:r>
    </w:p>
    <w:p w14:paraId="743B6F12" w14:textId="77777777" w:rsidR="009B7F30" w:rsidRPr="004A6E37" w:rsidRDefault="00E37862" w:rsidP="009D4849">
      <w:pPr>
        <w:ind w:left="708"/>
        <w:rPr>
          <w:rFonts w:ascii="Times New Roman" w:hAnsi="Times New Roman" w:cs="Times New Roman"/>
          <w:b/>
          <w:sz w:val="24"/>
          <w:szCs w:val="24"/>
        </w:rPr>
      </w:pPr>
      <w:r w:rsidRPr="004A6E37">
        <w:rPr>
          <w:rFonts w:ascii="Times New Roman" w:hAnsi="Times New Roman" w:cs="Times New Roman"/>
          <w:b/>
          <w:sz w:val="24"/>
          <w:szCs w:val="24"/>
        </w:rPr>
        <w:t xml:space="preserve"> b) </w:t>
      </w:r>
      <w:r w:rsidR="002E2BE8" w:rsidRPr="004A6E37">
        <w:rPr>
          <w:rFonts w:ascii="Times New Roman" w:hAnsi="Times New Roman" w:cs="Times New Roman"/>
          <w:b/>
          <w:sz w:val="24"/>
          <w:szCs w:val="24"/>
        </w:rPr>
        <w:t>Trai</w:t>
      </w:r>
      <w:r w:rsidR="00140FC1" w:rsidRPr="004A6E37">
        <w:rPr>
          <w:rFonts w:ascii="Times New Roman" w:hAnsi="Times New Roman" w:cs="Times New Roman"/>
          <w:b/>
          <w:sz w:val="24"/>
          <w:szCs w:val="24"/>
        </w:rPr>
        <w:t>tement et réponses législatives</w:t>
      </w:r>
    </w:p>
    <w:p w14:paraId="2720EC31"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Conscient de l’inadaptation de la législation malienne par rapport aux particularités du phénomène de BC/FT, le législateur avait en 2016, entrepris un vaste chantier de réforme du cadre juridique de LBC/FT avec l’adoption d’un arsenal juridique presqu’intégral de lutte contre le BC/FT. Ce cadre juridique a été adopté conformément aux recommandations du Groupe d’Action Financière (GAFI) et sous l’impulsion du Groupe Intergouvernemental d’Action contre le Blanchiment </w:t>
      </w:r>
      <w:r w:rsidRPr="004A6E37">
        <w:rPr>
          <w:rFonts w:ascii="Times New Roman" w:hAnsi="Times New Roman" w:cs="Times New Roman"/>
          <w:sz w:val="24"/>
          <w:szCs w:val="24"/>
        </w:rPr>
        <w:lastRenderedPageBreak/>
        <w:t>d’Argent en Afrique de l’Ouest (GIABA)</w:t>
      </w:r>
      <w:r w:rsidRPr="004A6E37">
        <w:rPr>
          <w:rStyle w:val="Appelnotedebasdep"/>
          <w:rFonts w:ascii="Times New Roman" w:hAnsi="Times New Roman" w:cs="Times New Roman"/>
          <w:sz w:val="24"/>
          <w:szCs w:val="24"/>
        </w:rPr>
        <w:footnoteReference w:id="3"/>
      </w:r>
      <w:r w:rsidRPr="004A6E37">
        <w:rPr>
          <w:rFonts w:ascii="Times New Roman" w:hAnsi="Times New Roman" w:cs="Times New Roman"/>
          <w:sz w:val="24"/>
          <w:szCs w:val="24"/>
        </w:rPr>
        <w:t xml:space="preserve">. Il en est ainsi </w:t>
      </w:r>
      <w:r w:rsidR="00F8519C" w:rsidRPr="004A6E37">
        <w:rPr>
          <w:rFonts w:ascii="Times New Roman" w:hAnsi="Times New Roman" w:cs="Times New Roman"/>
          <w:sz w:val="24"/>
          <w:szCs w:val="24"/>
        </w:rPr>
        <w:t xml:space="preserve">par </w:t>
      </w:r>
      <w:r w:rsidR="00424E40" w:rsidRPr="004A6E37">
        <w:rPr>
          <w:rFonts w:ascii="Times New Roman" w:hAnsi="Times New Roman" w:cs="Times New Roman"/>
          <w:sz w:val="24"/>
          <w:szCs w:val="24"/>
        </w:rPr>
        <w:t>la L</w:t>
      </w:r>
      <w:r w:rsidRPr="004A6E37">
        <w:rPr>
          <w:rFonts w:ascii="Times New Roman" w:hAnsi="Times New Roman" w:cs="Times New Roman"/>
          <w:sz w:val="24"/>
          <w:szCs w:val="24"/>
        </w:rPr>
        <w:t>oi</w:t>
      </w:r>
      <w:r w:rsidR="00424E40" w:rsidRPr="004A6E37">
        <w:rPr>
          <w:rFonts w:ascii="Times New Roman" w:hAnsi="Times New Roman" w:cs="Times New Roman"/>
          <w:sz w:val="24"/>
          <w:szCs w:val="24"/>
        </w:rPr>
        <w:t xml:space="preserve"> n° 08-</w:t>
      </w:r>
      <w:r w:rsidRPr="004A6E37">
        <w:rPr>
          <w:rFonts w:ascii="Times New Roman" w:hAnsi="Times New Roman" w:cs="Times New Roman"/>
          <w:sz w:val="24"/>
          <w:szCs w:val="24"/>
        </w:rPr>
        <w:t xml:space="preserve">025 du 23 juillet 2008 portant répression </w:t>
      </w:r>
      <w:r w:rsidR="006C22B5" w:rsidRPr="004A6E37">
        <w:rPr>
          <w:rFonts w:ascii="Times New Roman" w:hAnsi="Times New Roman" w:cs="Times New Roman"/>
          <w:sz w:val="24"/>
          <w:szCs w:val="24"/>
        </w:rPr>
        <w:t>du terrorisme et la L</w:t>
      </w:r>
      <w:r w:rsidRPr="004A6E37">
        <w:rPr>
          <w:rFonts w:ascii="Times New Roman" w:hAnsi="Times New Roman" w:cs="Times New Roman"/>
          <w:sz w:val="24"/>
          <w:szCs w:val="24"/>
        </w:rPr>
        <w:t xml:space="preserve">oi Uniforme </w:t>
      </w:r>
      <w:r w:rsidR="00125E0D" w:rsidRPr="004A6E37">
        <w:rPr>
          <w:rFonts w:ascii="Times New Roman" w:eastAsia="Times New Roman" w:hAnsi="Times New Roman" w:cs="Times New Roman"/>
          <w:sz w:val="24"/>
          <w:szCs w:val="24"/>
          <w:lang w:eastAsia="fr-FR"/>
        </w:rPr>
        <w:t>n°2016-008</w:t>
      </w:r>
      <w:r w:rsidRPr="004A6E37">
        <w:rPr>
          <w:rFonts w:ascii="Times New Roman" w:eastAsia="Times New Roman" w:hAnsi="Times New Roman" w:cs="Times New Roman"/>
          <w:sz w:val="24"/>
          <w:szCs w:val="24"/>
          <w:lang w:eastAsia="fr-FR"/>
        </w:rPr>
        <w:t xml:space="preserve"> du 17 mar</w:t>
      </w:r>
      <w:r w:rsidR="004B6161" w:rsidRPr="004A6E37">
        <w:rPr>
          <w:rFonts w:ascii="Times New Roman" w:eastAsia="Times New Roman" w:hAnsi="Times New Roman" w:cs="Times New Roman"/>
          <w:sz w:val="24"/>
          <w:szCs w:val="24"/>
          <w:lang w:eastAsia="fr-FR"/>
        </w:rPr>
        <w:t xml:space="preserve">s 2016 relative à la LBC/FT </w:t>
      </w:r>
      <w:r w:rsidRPr="004A6E37">
        <w:rPr>
          <w:rFonts w:ascii="Times New Roman" w:eastAsia="Times New Roman" w:hAnsi="Times New Roman" w:cs="Times New Roman"/>
          <w:sz w:val="24"/>
          <w:szCs w:val="24"/>
          <w:lang w:eastAsia="fr-FR"/>
        </w:rPr>
        <w:t>défini</w:t>
      </w:r>
      <w:r w:rsidR="004B6161" w:rsidRPr="004A6E37">
        <w:rPr>
          <w:rFonts w:ascii="Times New Roman" w:eastAsia="Times New Roman" w:hAnsi="Times New Roman" w:cs="Times New Roman"/>
          <w:sz w:val="24"/>
          <w:szCs w:val="24"/>
          <w:lang w:eastAsia="fr-FR"/>
        </w:rPr>
        <w:t>ssan</w:t>
      </w:r>
      <w:r w:rsidRPr="004A6E37">
        <w:rPr>
          <w:rFonts w:ascii="Times New Roman" w:eastAsia="Times New Roman" w:hAnsi="Times New Roman" w:cs="Times New Roman"/>
          <w:sz w:val="24"/>
          <w:szCs w:val="24"/>
          <w:lang w:eastAsia="fr-FR"/>
        </w:rPr>
        <w:t xml:space="preserve">t les obligations et les mesures essentielles à mettre en œuvre par les assujettis afin de </w:t>
      </w:r>
      <w:r w:rsidRPr="004A6E37">
        <w:rPr>
          <w:rFonts w:ascii="Times New Roman" w:hAnsi="Times New Roman" w:cs="Times New Roman"/>
          <w:sz w:val="24"/>
          <w:szCs w:val="24"/>
        </w:rPr>
        <w:t>limiter le volume d’argent sale intégré dans le système économique et monétaire malien.</w:t>
      </w:r>
    </w:p>
    <w:p w14:paraId="3511E7F2"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Ces textes constituent le cadre légal de la lutte contre le terrorisme en République du Mali. La première loi adoptée en 2008 traite de la prévention, de la détection et de la répression du financement du terrorisme et pose les principes de la coopération internationale en la matière.</w:t>
      </w:r>
    </w:p>
    <w:p w14:paraId="0AFC0815"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La seconde loi adoptée en 2016 énumère dans ses articles 2 à 8</w:t>
      </w:r>
      <w:r w:rsidR="00B22077" w:rsidRPr="004A6E37">
        <w:rPr>
          <w:rFonts w:ascii="Times New Roman" w:hAnsi="Times New Roman" w:cs="Times New Roman"/>
          <w:sz w:val="24"/>
          <w:szCs w:val="24"/>
        </w:rPr>
        <w:t>,</w:t>
      </w:r>
      <w:r w:rsidRPr="004A6E37">
        <w:rPr>
          <w:rFonts w:ascii="Times New Roman" w:hAnsi="Times New Roman" w:cs="Times New Roman"/>
          <w:sz w:val="24"/>
          <w:szCs w:val="24"/>
        </w:rPr>
        <w:t xml:space="preserve"> un ensemble de faits ou actes incriminés en tant qu’infractions terroristes. Elle s’articule autour de quatre </w:t>
      </w:r>
      <w:r w:rsidR="007A145D" w:rsidRPr="004A6E37">
        <w:rPr>
          <w:rFonts w:ascii="Times New Roman" w:hAnsi="Times New Roman" w:cs="Times New Roman"/>
          <w:sz w:val="24"/>
          <w:szCs w:val="24"/>
        </w:rPr>
        <w:t>chapitres :</w:t>
      </w:r>
      <w:r w:rsidRPr="004A6E37">
        <w:rPr>
          <w:rFonts w:ascii="Times New Roman" w:hAnsi="Times New Roman" w:cs="Times New Roman"/>
          <w:sz w:val="24"/>
          <w:szCs w:val="24"/>
        </w:rPr>
        <w:t xml:space="preserve"> chapitre </w:t>
      </w:r>
      <w:r w:rsidR="007E56B9" w:rsidRPr="004A6E37">
        <w:rPr>
          <w:rFonts w:ascii="Times New Roman" w:hAnsi="Times New Roman" w:cs="Times New Roman"/>
          <w:sz w:val="24"/>
          <w:szCs w:val="24"/>
        </w:rPr>
        <w:t>premier :</w:t>
      </w:r>
      <w:r w:rsidRPr="004A6E37">
        <w:rPr>
          <w:rFonts w:ascii="Times New Roman" w:hAnsi="Times New Roman" w:cs="Times New Roman"/>
          <w:sz w:val="24"/>
          <w:szCs w:val="24"/>
        </w:rPr>
        <w:t xml:space="preserve"> des actes </w:t>
      </w:r>
      <w:r w:rsidR="007E56B9" w:rsidRPr="004A6E37">
        <w:rPr>
          <w:rFonts w:ascii="Times New Roman" w:hAnsi="Times New Roman" w:cs="Times New Roman"/>
          <w:sz w:val="24"/>
          <w:szCs w:val="24"/>
        </w:rPr>
        <w:t>terroristes ;</w:t>
      </w:r>
      <w:r w:rsidRPr="004A6E37">
        <w:rPr>
          <w:rFonts w:ascii="Times New Roman" w:hAnsi="Times New Roman" w:cs="Times New Roman"/>
          <w:sz w:val="24"/>
          <w:szCs w:val="24"/>
        </w:rPr>
        <w:t xml:space="preserve"> chapitre </w:t>
      </w:r>
      <w:r w:rsidR="007E56B9" w:rsidRPr="004A6E37">
        <w:rPr>
          <w:rFonts w:ascii="Times New Roman" w:hAnsi="Times New Roman" w:cs="Times New Roman"/>
          <w:sz w:val="24"/>
          <w:szCs w:val="24"/>
        </w:rPr>
        <w:t>II :</w:t>
      </w:r>
      <w:r w:rsidRPr="004A6E37">
        <w:rPr>
          <w:rFonts w:ascii="Times New Roman" w:hAnsi="Times New Roman" w:cs="Times New Roman"/>
          <w:sz w:val="24"/>
          <w:szCs w:val="24"/>
        </w:rPr>
        <w:t xml:space="preserve"> du financement du </w:t>
      </w:r>
      <w:r w:rsidR="007E56B9" w:rsidRPr="004A6E37">
        <w:rPr>
          <w:rFonts w:ascii="Times New Roman" w:hAnsi="Times New Roman" w:cs="Times New Roman"/>
          <w:sz w:val="24"/>
          <w:szCs w:val="24"/>
        </w:rPr>
        <w:t>terrorisme ;</w:t>
      </w:r>
      <w:r w:rsidRPr="004A6E37">
        <w:rPr>
          <w:rFonts w:ascii="Times New Roman" w:hAnsi="Times New Roman" w:cs="Times New Roman"/>
          <w:sz w:val="24"/>
          <w:szCs w:val="24"/>
        </w:rPr>
        <w:t xml:space="preserve"> chapitre </w:t>
      </w:r>
      <w:r w:rsidR="007E56B9" w:rsidRPr="004A6E37">
        <w:rPr>
          <w:rFonts w:ascii="Times New Roman" w:hAnsi="Times New Roman" w:cs="Times New Roman"/>
          <w:sz w:val="24"/>
          <w:szCs w:val="24"/>
        </w:rPr>
        <w:t>III :</w:t>
      </w:r>
      <w:r w:rsidRPr="004A6E37">
        <w:rPr>
          <w:rFonts w:ascii="Times New Roman" w:hAnsi="Times New Roman" w:cs="Times New Roman"/>
          <w:sz w:val="24"/>
          <w:szCs w:val="24"/>
        </w:rPr>
        <w:t xml:space="preserve"> de la </w:t>
      </w:r>
      <w:r w:rsidR="007E56B9" w:rsidRPr="004A6E37">
        <w:rPr>
          <w:rFonts w:ascii="Times New Roman" w:hAnsi="Times New Roman" w:cs="Times New Roman"/>
          <w:sz w:val="24"/>
          <w:szCs w:val="24"/>
        </w:rPr>
        <w:t>procédure ;</w:t>
      </w:r>
      <w:r w:rsidRPr="004A6E37">
        <w:rPr>
          <w:rFonts w:ascii="Times New Roman" w:hAnsi="Times New Roman" w:cs="Times New Roman"/>
          <w:sz w:val="24"/>
          <w:szCs w:val="24"/>
        </w:rPr>
        <w:t xml:space="preserve"> et chapitre </w:t>
      </w:r>
      <w:r w:rsidR="007E56B9" w:rsidRPr="004A6E37">
        <w:rPr>
          <w:rFonts w:ascii="Times New Roman" w:hAnsi="Times New Roman" w:cs="Times New Roman"/>
          <w:sz w:val="24"/>
          <w:szCs w:val="24"/>
        </w:rPr>
        <w:t>IV :</w:t>
      </w:r>
      <w:r w:rsidRPr="004A6E37">
        <w:rPr>
          <w:rFonts w:ascii="Times New Roman" w:hAnsi="Times New Roman" w:cs="Times New Roman"/>
          <w:sz w:val="24"/>
          <w:szCs w:val="24"/>
        </w:rPr>
        <w:t xml:space="preserve"> des sanctions. </w:t>
      </w:r>
    </w:p>
    <w:p w14:paraId="01CEC6F4" w14:textId="77777777" w:rsidR="009B7F30" w:rsidRPr="004A6E37" w:rsidRDefault="002E2BE8">
      <w:pPr>
        <w:spacing w:line="360" w:lineRule="auto"/>
        <w:ind w:left="60"/>
        <w:jc w:val="both"/>
        <w:rPr>
          <w:rFonts w:ascii="Times New Roman" w:hAnsi="Times New Roman" w:cs="Times New Roman"/>
          <w:sz w:val="24"/>
          <w:szCs w:val="24"/>
        </w:rPr>
      </w:pPr>
      <w:r w:rsidRPr="004A6E37">
        <w:rPr>
          <w:rFonts w:ascii="Times New Roman" w:hAnsi="Times New Roman" w:cs="Times New Roman"/>
          <w:sz w:val="24"/>
          <w:szCs w:val="24"/>
        </w:rPr>
        <w:t xml:space="preserve">Sur le plan juridique, le Mali dispose d’un cadre juridique adéquat pour les enquêtes visant les affaires de </w:t>
      </w:r>
      <w:r w:rsidR="00427F4F" w:rsidRPr="004A6E37">
        <w:rPr>
          <w:rFonts w:ascii="Times New Roman" w:hAnsi="Times New Roman" w:cs="Times New Roman"/>
          <w:sz w:val="24"/>
          <w:szCs w:val="24"/>
        </w:rPr>
        <w:t>blanchiment de capitaux</w:t>
      </w:r>
      <w:r w:rsidRPr="004A6E37">
        <w:rPr>
          <w:rFonts w:ascii="Times New Roman" w:hAnsi="Times New Roman" w:cs="Times New Roman"/>
          <w:sz w:val="24"/>
          <w:szCs w:val="24"/>
        </w:rPr>
        <w:t xml:space="preserve"> et les poursuites s’y rapportant. Le pays a créé </w:t>
      </w:r>
      <w:r w:rsidR="00F0293B" w:rsidRPr="004A6E37">
        <w:rPr>
          <w:rFonts w:ascii="Times New Roman" w:hAnsi="Times New Roman" w:cs="Times New Roman"/>
          <w:sz w:val="24"/>
          <w:szCs w:val="24"/>
        </w:rPr>
        <w:t>un</w:t>
      </w:r>
      <w:r w:rsidRPr="004A6E37">
        <w:rPr>
          <w:rFonts w:ascii="Times New Roman" w:hAnsi="Times New Roman" w:cs="Times New Roman"/>
          <w:sz w:val="24"/>
          <w:szCs w:val="24"/>
        </w:rPr>
        <w:t xml:space="preserve"> </w:t>
      </w:r>
      <w:r w:rsidR="00F0293B" w:rsidRPr="004A6E37">
        <w:rPr>
          <w:rFonts w:ascii="Times New Roman" w:hAnsi="Times New Roman" w:cs="Times New Roman"/>
          <w:sz w:val="24"/>
          <w:szCs w:val="24"/>
        </w:rPr>
        <w:t>pôle judiciaire spécialisé</w:t>
      </w:r>
      <w:r w:rsidRPr="004A6E37">
        <w:rPr>
          <w:rFonts w:ascii="Times New Roman" w:hAnsi="Times New Roman" w:cs="Times New Roman"/>
          <w:sz w:val="24"/>
          <w:szCs w:val="24"/>
        </w:rPr>
        <w:t xml:space="preserve"> </w:t>
      </w:r>
      <w:r w:rsidR="00F0293B" w:rsidRPr="004A6E37">
        <w:rPr>
          <w:rFonts w:ascii="Times New Roman" w:hAnsi="Times New Roman" w:cs="Times New Roman"/>
          <w:sz w:val="24"/>
          <w:szCs w:val="24"/>
        </w:rPr>
        <w:t xml:space="preserve">auprès du tribunal de la grande instance de la commune VI. Ce pôle est chargé des </w:t>
      </w:r>
      <w:r w:rsidRPr="004A6E37">
        <w:rPr>
          <w:rFonts w:ascii="Times New Roman" w:hAnsi="Times New Roman" w:cs="Times New Roman"/>
          <w:sz w:val="24"/>
          <w:szCs w:val="24"/>
        </w:rPr>
        <w:t>enquêtes</w:t>
      </w:r>
      <w:r w:rsidR="00F0293B" w:rsidRPr="004A6E37">
        <w:rPr>
          <w:rFonts w:ascii="Times New Roman" w:hAnsi="Times New Roman" w:cs="Times New Roman"/>
          <w:sz w:val="24"/>
          <w:szCs w:val="24"/>
        </w:rPr>
        <w:t xml:space="preserve"> et poursuites</w:t>
      </w:r>
      <w:r w:rsidRPr="004A6E37">
        <w:rPr>
          <w:rFonts w:ascii="Times New Roman" w:hAnsi="Times New Roman" w:cs="Times New Roman"/>
          <w:sz w:val="24"/>
          <w:szCs w:val="24"/>
        </w:rPr>
        <w:t xml:space="preserve"> </w:t>
      </w:r>
      <w:r w:rsidR="00F0293B" w:rsidRPr="004A6E37">
        <w:rPr>
          <w:rFonts w:ascii="Times New Roman" w:hAnsi="Times New Roman" w:cs="Times New Roman"/>
          <w:sz w:val="24"/>
          <w:szCs w:val="24"/>
        </w:rPr>
        <w:t>pour</w:t>
      </w:r>
      <w:r w:rsidRPr="004A6E37">
        <w:rPr>
          <w:rFonts w:ascii="Times New Roman" w:hAnsi="Times New Roman" w:cs="Times New Roman"/>
          <w:sz w:val="24"/>
          <w:szCs w:val="24"/>
        </w:rPr>
        <w:t xml:space="preserve"> les affaires de blanchiment de capitaux. Le Mali a également créé des institutions spécialisées qui s’occupent d’un certain nombre d’infractions sous-jacentes connexes.</w:t>
      </w:r>
    </w:p>
    <w:p w14:paraId="74B33064" w14:textId="77777777" w:rsidR="009B7F30" w:rsidRPr="004A6E37" w:rsidRDefault="002E2BE8">
      <w:pPr>
        <w:spacing w:line="360" w:lineRule="auto"/>
        <w:ind w:left="60"/>
        <w:jc w:val="both"/>
        <w:rPr>
          <w:rFonts w:ascii="Times New Roman" w:hAnsi="Times New Roman" w:cs="Times New Roman"/>
          <w:sz w:val="24"/>
          <w:szCs w:val="24"/>
        </w:rPr>
      </w:pPr>
      <w:r w:rsidRPr="004A6E37">
        <w:rPr>
          <w:rFonts w:ascii="Times New Roman" w:hAnsi="Times New Roman" w:cs="Times New Roman"/>
          <w:sz w:val="24"/>
          <w:szCs w:val="24"/>
        </w:rPr>
        <w:t xml:space="preserve">Les autorités maliennes disposent d’un cadre juridique assez satisfaisant pour procéder au gel, à la saisie et à la confiscation des avoirs criminels, notamment les instruments utilisés ou destinés à être utilisés dans le blanchiment de capitaux et les infractions sous-jacentes. </w:t>
      </w:r>
    </w:p>
    <w:p w14:paraId="19545D8D" w14:textId="77777777" w:rsidR="009B7F30" w:rsidRPr="004A6E37" w:rsidRDefault="002E2BE8">
      <w:pPr>
        <w:spacing w:after="0" w:line="360" w:lineRule="auto"/>
        <w:ind w:left="62"/>
        <w:jc w:val="both"/>
        <w:rPr>
          <w:rFonts w:ascii="Times New Roman" w:hAnsi="Times New Roman" w:cs="Times New Roman"/>
          <w:sz w:val="24"/>
          <w:szCs w:val="24"/>
        </w:rPr>
      </w:pPr>
      <w:r w:rsidRPr="004A6E37">
        <w:rPr>
          <w:rFonts w:ascii="Times New Roman" w:hAnsi="Times New Roman" w:cs="Times New Roman"/>
          <w:sz w:val="24"/>
          <w:szCs w:val="24"/>
        </w:rPr>
        <w:t>Au niveau des organisations supranationales</w:t>
      </w:r>
      <w:r w:rsidR="00300D30" w:rsidRPr="004A6E37">
        <w:rPr>
          <w:rFonts w:ascii="Times New Roman" w:hAnsi="Times New Roman" w:cs="Times New Roman"/>
          <w:sz w:val="24"/>
          <w:szCs w:val="24"/>
        </w:rPr>
        <w:t>, l</w:t>
      </w:r>
      <w:r w:rsidRPr="004A6E37">
        <w:rPr>
          <w:rFonts w:ascii="Times New Roman" w:hAnsi="Times New Roman" w:cs="Times New Roman"/>
          <w:sz w:val="24"/>
          <w:szCs w:val="24"/>
        </w:rPr>
        <w:t>’Acte uniforme</w:t>
      </w:r>
      <w:r w:rsidR="00F9513B" w:rsidRPr="004A6E37">
        <w:rPr>
          <w:rFonts w:ascii="Times New Roman" w:hAnsi="Times New Roman" w:cs="Times New Roman"/>
          <w:sz w:val="24"/>
          <w:szCs w:val="24"/>
        </w:rPr>
        <w:t xml:space="preserve"> de</w:t>
      </w:r>
      <w:r w:rsidRPr="004A6E37">
        <w:rPr>
          <w:rFonts w:ascii="Times New Roman" w:hAnsi="Times New Roman" w:cs="Times New Roman"/>
          <w:sz w:val="24"/>
          <w:szCs w:val="24"/>
        </w:rPr>
        <w:t xml:space="preserve"> </w:t>
      </w:r>
      <w:r w:rsidR="00F9513B" w:rsidRPr="004A6E37">
        <w:rPr>
          <w:rFonts w:ascii="Times New Roman" w:hAnsi="Times New Roman" w:cs="Times New Roman"/>
          <w:sz w:val="24"/>
          <w:szCs w:val="24"/>
          <w:shd w:val="clear" w:color="auto" w:fill="FFFFFF"/>
        </w:rPr>
        <w:t>l’Organisation pour l’Harmonisation en Afrique du Droit des Affaires (</w:t>
      </w:r>
      <w:r w:rsidRPr="004A6E37">
        <w:rPr>
          <w:rFonts w:ascii="Times New Roman" w:hAnsi="Times New Roman" w:cs="Times New Roman"/>
          <w:sz w:val="24"/>
          <w:szCs w:val="24"/>
        </w:rPr>
        <w:t>OHADA</w:t>
      </w:r>
      <w:r w:rsidR="00F9513B" w:rsidRPr="004A6E37">
        <w:rPr>
          <w:rFonts w:ascii="Times New Roman" w:hAnsi="Times New Roman" w:cs="Times New Roman"/>
          <w:sz w:val="24"/>
          <w:szCs w:val="24"/>
        </w:rPr>
        <w:t>)</w:t>
      </w:r>
      <w:r w:rsidRPr="004A6E37">
        <w:rPr>
          <w:rFonts w:ascii="Times New Roman" w:hAnsi="Times New Roman" w:cs="Times New Roman"/>
          <w:sz w:val="24"/>
          <w:szCs w:val="24"/>
        </w:rPr>
        <w:t xml:space="preserve"> sur les sociétés commerciales et les Groupements d’intérêt économique prévoient des mesures visant </w:t>
      </w:r>
      <w:r w:rsidR="007E56B9" w:rsidRPr="004A6E37">
        <w:rPr>
          <w:rFonts w:ascii="Times New Roman" w:hAnsi="Times New Roman" w:cs="Times New Roman"/>
          <w:sz w:val="24"/>
          <w:szCs w:val="24"/>
        </w:rPr>
        <w:t>à</w:t>
      </w:r>
      <w:r w:rsidRPr="004A6E37">
        <w:rPr>
          <w:rFonts w:ascii="Times New Roman" w:hAnsi="Times New Roman" w:cs="Times New Roman"/>
          <w:sz w:val="24"/>
          <w:szCs w:val="24"/>
        </w:rPr>
        <w:t>̀ prévenir l’utilisation des sociétés à des fins de BC/FT. Les articles 25 à 28 de l’Acte uniforme relatif au droit commercial général énoncent les informations</w:t>
      </w:r>
      <w:r w:rsidR="004F7D6A" w:rsidRPr="004A6E37">
        <w:rPr>
          <w:rFonts w:ascii="Times New Roman" w:hAnsi="Times New Roman" w:cs="Times New Roman"/>
          <w:sz w:val="24"/>
          <w:szCs w:val="24"/>
        </w:rPr>
        <w:t xml:space="preserve"> à fournir dans le Registre du Commerce et du C</w:t>
      </w:r>
      <w:r w:rsidRPr="004A6E37">
        <w:rPr>
          <w:rFonts w:ascii="Times New Roman" w:hAnsi="Times New Roman" w:cs="Times New Roman"/>
          <w:sz w:val="24"/>
          <w:szCs w:val="24"/>
        </w:rPr>
        <w:t xml:space="preserve">rédit </w:t>
      </w:r>
      <w:r w:rsidR="004F7D6A" w:rsidRPr="004A6E37">
        <w:rPr>
          <w:rFonts w:ascii="Times New Roman" w:hAnsi="Times New Roman" w:cs="Times New Roman"/>
          <w:sz w:val="24"/>
          <w:szCs w:val="24"/>
        </w:rPr>
        <w:t>M</w:t>
      </w:r>
      <w:r w:rsidRPr="004A6E37">
        <w:rPr>
          <w:rFonts w:ascii="Times New Roman" w:hAnsi="Times New Roman" w:cs="Times New Roman"/>
          <w:sz w:val="24"/>
          <w:szCs w:val="24"/>
        </w:rPr>
        <w:t>obilier (RCCM) avant la création d’une personne morale</w:t>
      </w:r>
      <w:r w:rsidRPr="004A6E37">
        <w:rPr>
          <w:rStyle w:val="Appelnotedebasdep"/>
          <w:rFonts w:ascii="Times New Roman" w:hAnsi="Times New Roman" w:cs="Times New Roman"/>
          <w:sz w:val="24"/>
          <w:szCs w:val="24"/>
        </w:rPr>
        <w:footnoteReference w:id="4"/>
      </w:r>
      <w:r w:rsidRPr="004A6E37">
        <w:rPr>
          <w:rFonts w:ascii="Times New Roman" w:hAnsi="Times New Roman" w:cs="Times New Roman"/>
          <w:sz w:val="24"/>
          <w:szCs w:val="24"/>
        </w:rPr>
        <w:t xml:space="preserve">. Les informations de base sur les personnes </w:t>
      </w:r>
      <w:r w:rsidRPr="004A6E37">
        <w:rPr>
          <w:rFonts w:ascii="Times New Roman" w:hAnsi="Times New Roman" w:cs="Times New Roman"/>
          <w:sz w:val="24"/>
          <w:szCs w:val="24"/>
        </w:rPr>
        <w:lastRenderedPageBreak/>
        <w:t>morales sont contenues dans le RCCM. Les informations sont stockées et archivées manuellement. En raison de la non</w:t>
      </w:r>
      <w:r w:rsidR="00C27FFC" w:rsidRPr="004A6E37">
        <w:rPr>
          <w:rFonts w:ascii="Times New Roman" w:hAnsi="Times New Roman" w:cs="Times New Roman"/>
          <w:sz w:val="24"/>
          <w:szCs w:val="24"/>
        </w:rPr>
        <w:t xml:space="preserve">-informatisation </w:t>
      </w:r>
      <w:r w:rsidRPr="004A6E37">
        <w:rPr>
          <w:rFonts w:ascii="Times New Roman" w:hAnsi="Times New Roman" w:cs="Times New Roman"/>
          <w:sz w:val="24"/>
          <w:szCs w:val="24"/>
        </w:rPr>
        <w:t xml:space="preserve">du RCCM, l’information contenue dans le RCCM n’est pas facilement accessible au public. Outre les informations susmentionnées à fournir lors de la demande de création de la société, il est également requis une déclaration de régularité et de conformité ou une déclaration notariée de souscription et de paiement, une liste certifiée des administrateurs, dirigeants ou associés ayant une responsabilité illimitée et personnelle ou pouvant engager la société. Cette pratique garantit la collecte d’information de base pouvant servir aux autorités d’enquêtes et de poursuites pénales, le cas échéant. Toutefois, il apparaît que les autorités chargées de l’incorporation n’effectuent pas les démarches nécessaires pour garantir l’authenticité des indications produites. En outre, il n’existe aucun mécanisme spécifique pour déterminer le(s) bénéficiaire(s) effectif(s) d’une personne morale au sein du RCCM. En plus, aucune sanction n’est prévue pour faire respecter ces exigences, ce qui pose des problèmes liés à la conservation d’informations adéquates, exactes et à jour. Il n’est imposé aucune obligation de conserver les renseignements sur les bénéficiaires effectifs dans le RCCM et les renseignements sur les bénéficiaires effectifs détenus par les banques ne sont accessibles que sur consentement du procureur de la République. </w:t>
      </w:r>
    </w:p>
    <w:p w14:paraId="54959FF2" w14:textId="77777777" w:rsidR="009B7F30" w:rsidRPr="004A6E37" w:rsidRDefault="002E2BE8">
      <w:pPr>
        <w:spacing w:after="0" w:line="360" w:lineRule="auto"/>
        <w:ind w:left="62"/>
        <w:jc w:val="both"/>
        <w:rPr>
          <w:rFonts w:ascii="Times New Roman" w:hAnsi="Times New Roman" w:cs="Times New Roman"/>
          <w:sz w:val="24"/>
          <w:szCs w:val="24"/>
        </w:rPr>
      </w:pPr>
      <w:r w:rsidRPr="004A6E37">
        <w:rPr>
          <w:rFonts w:ascii="Times New Roman" w:hAnsi="Times New Roman" w:cs="Times New Roman"/>
          <w:sz w:val="24"/>
          <w:szCs w:val="24"/>
        </w:rPr>
        <w:t>Enfin, il convient de souligner que les autorités chargées de la création de personnes mor</w:t>
      </w:r>
      <w:r w:rsidR="00701CB1" w:rsidRPr="004A6E37">
        <w:rPr>
          <w:rFonts w:ascii="Times New Roman" w:hAnsi="Times New Roman" w:cs="Times New Roman"/>
          <w:sz w:val="24"/>
          <w:szCs w:val="24"/>
        </w:rPr>
        <w:t>ales et de la tenue de registres</w:t>
      </w:r>
      <w:r w:rsidRPr="004A6E37">
        <w:rPr>
          <w:rFonts w:ascii="Times New Roman" w:hAnsi="Times New Roman" w:cs="Times New Roman"/>
          <w:sz w:val="24"/>
          <w:szCs w:val="24"/>
        </w:rPr>
        <w:t xml:space="preserve"> du commerce</w:t>
      </w:r>
      <w:r w:rsidR="00D62333" w:rsidRPr="004A6E37">
        <w:rPr>
          <w:rFonts w:ascii="Times New Roman" w:hAnsi="Times New Roman" w:cs="Times New Roman"/>
          <w:sz w:val="24"/>
          <w:szCs w:val="24"/>
        </w:rPr>
        <w:t xml:space="preserve"> et du crédit mobilier</w:t>
      </w:r>
      <w:r w:rsidRPr="004A6E37">
        <w:rPr>
          <w:rFonts w:ascii="Times New Roman" w:hAnsi="Times New Roman" w:cs="Times New Roman"/>
          <w:sz w:val="24"/>
          <w:szCs w:val="24"/>
        </w:rPr>
        <w:t xml:space="preserve">, en particulier les notaires et les avocats, ont une faible compréhension du risque que courent les personnes morales. </w:t>
      </w:r>
    </w:p>
    <w:p w14:paraId="0B25E9D3" w14:textId="77777777" w:rsidR="009B7F30" w:rsidRPr="004A6E37" w:rsidRDefault="005D0C08" w:rsidP="009D4849">
      <w:pPr>
        <w:ind w:left="708"/>
        <w:rPr>
          <w:rFonts w:ascii="Times New Roman" w:hAnsi="Times New Roman" w:cs="Times New Roman"/>
          <w:b/>
          <w:sz w:val="24"/>
          <w:szCs w:val="24"/>
        </w:rPr>
      </w:pPr>
      <w:r w:rsidRPr="004A6E37">
        <w:rPr>
          <w:rFonts w:ascii="Times New Roman" w:hAnsi="Times New Roman" w:cs="Times New Roman"/>
          <w:b/>
          <w:sz w:val="24"/>
          <w:szCs w:val="24"/>
        </w:rPr>
        <w:t xml:space="preserve">c) </w:t>
      </w:r>
      <w:r w:rsidR="002E2BE8" w:rsidRPr="004A6E37">
        <w:rPr>
          <w:rFonts w:ascii="Times New Roman" w:hAnsi="Times New Roman" w:cs="Times New Roman"/>
          <w:b/>
          <w:sz w:val="24"/>
          <w:szCs w:val="24"/>
        </w:rPr>
        <w:t xml:space="preserve">Traitement et réponses judiciaires </w:t>
      </w:r>
    </w:p>
    <w:p w14:paraId="4887EE23"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 développement du terrorism</w:t>
      </w:r>
      <w:r w:rsidR="00A036EF" w:rsidRPr="004A6E37">
        <w:rPr>
          <w:rFonts w:ascii="Times New Roman" w:hAnsi="Times New Roman" w:cs="Times New Roman"/>
          <w:sz w:val="24"/>
          <w:szCs w:val="24"/>
        </w:rPr>
        <w:t>e et les menaces liées au BC/FT</w:t>
      </w:r>
      <w:r w:rsidRPr="004A6E37">
        <w:rPr>
          <w:rFonts w:ascii="Times New Roman" w:hAnsi="Times New Roman" w:cs="Times New Roman"/>
          <w:sz w:val="24"/>
          <w:szCs w:val="24"/>
        </w:rPr>
        <w:t xml:space="preserve"> ont conduit le législateur à renforcer progressivement et sensiblement les moyens de surveillance et de contrôle juridictionnel. Nous assistons également à un élargissement des pouvoirs du juge d’instruction dans le cadre de</w:t>
      </w:r>
      <w:r w:rsidR="006158D2" w:rsidRPr="004A6E37">
        <w:rPr>
          <w:rFonts w:ascii="Times New Roman" w:hAnsi="Times New Roman" w:cs="Times New Roman"/>
          <w:sz w:val="24"/>
          <w:szCs w:val="24"/>
        </w:rPr>
        <w:t xml:space="preserve">s </w:t>
      </w:r>
      <w:r w:rsidRPr="004A6E37">
        <w:rPr>
          <w:rFonts w:ascii="Times New Roman" w:hAnsi="Times New Roman" w:cs="Times New Roman"/>
          <w:sz w:val="24"/>
          <w:szCs w:val="24"/>
        </w:rPr>
        <w:t>investigation</w:t>
      </w:r>
      <w:r w:rsidR="006158D2" w:rsidRPr="004A6E37">
        <w:rPr>
          <w:rFonts w:ascii="Times New Roman" w:hAnsi="Times New Roman" w:cs="Times New Roman"/>
          <w:sz w:val="24"/>
          <w:szCs w:val="24"/>
        </w:rPr>
        <w:t>s</w:t>
      </w:r>
      <w:r w:rsidRPr="004A6E37">
        <w:rPr>
          <w:rFonts w:ascii="Times New Roman" w:hAnsi="Times New Roman" w:cs="Times New Roman"/>
          <w:sz w:val="24"/>
          <w:szCs w:val="24"/>
        </w:rPr>
        <w:t xml:space="preserve"> des faits de BC/FT par le biais de</w:t>
      </w:r>
      <w:r w:rsidR="00F27EBB" w:rsidRPr="004A6E37">
        <w:rPr>
          <w:rFonts w:ascii="Times New Roman" w:hAnsi="Times New Roman" w:cs="Times New Roman"/>
          <w:sz w:val="24"/>
          <w:szCs w:val="24"/>
        </w:rPr>
        <w:t xml:space="preserve"> l’adoption de la</w:t>
      </w:r>
      <w:r w:rsidRPr="004A6E37">
        <w:rPr>
          <w:rFonts w:ascii="Times New Roman" w:hAnsi="Times New Roman" w:cs="Times New Roman"/>
          <w:sz w:val="24"/>
          <w:szCs w:val="24"/>
        </w:rPr>
        <w:t> </w:t>
      </w:r>
      <w:r w:rsidR="00074A3C" w:rsidRPr="004A6E37">
        <w:rPr>
          <w:rFonts w:ascii="Times New Roman" w:eastAsia="Times New Roman" w:hAnsi="Times New Roman" w:cs="Times New Roman"/>
          <w:sz w:val="24"/>
          <w:szCs w:val="24"/>
          <w:lang w:eastAsia="fr-FR"/>
        </w:rPr>
        <w:t>Loi uniforme n°2016-008</w:t>
      </w:r>
      <w:r w:rsidRPr="004A6E37">
        <w:rPr>
          <w:rFonts w:ascii="Times New Roman" w:eastAsia="Times New Roman" w:hAnsi="Times New Roman" w:cs="Times New Roman"/>
          <w:sz w:val="24"/>
          <w:szCs w:val="24"/>
          <w:lang w:eastAsia="fr-FR"/>
        </w:rPr>
        <w:t xml:space="preserve"> du 17 mars 2016</w:t>
      </w:r>
      <w:r w:rsidR="008B7356" w:rsidRPr="004A6E37">
        <w:rPr>
          <w:rFonts w:ascii="Times New Roman" w:hAnsi="Times New Roman" w:cs="Times New Roman"/>
          <w:sz w:val="24"/>
          <w:szCs w:val="24"/>
        </w:rPr>
        <w:t xml:space="preserve"> relative à la LCB/FT</w:t>
      </w:r>
      <w:r w:rsidR="004A0160" w:rsidRPr="004A6E37">
        <w:rPr>
          <w:rFonts w:ascii="Times New Roman" w:hAnsi="Times New Roman" w:cs="Times New Roman"/>
          <w:sz w:val="24"/>
          <w:szCs w:val="24"/>
        </w:rPr>
        <w:t>. Par exemple, aux termes de</w:t>
      </w:r>
      <w:r w:rsidR="009442C7" w:rsidRPr="004A6E37">
        <w:rPr>
          <w:rFonts w:ascii="Times New Roman" w:hAnsi="Times New Roman" w:cs="Times New Roman"/>
          <w:sz w:val="24"/>
          <w:szCs w:val="24"/>
        </w:rPr>
        <w:t xml:space="preserve"> </w:t>
      </w:r>
      <w:r w:rsidR="004A0160" w:rsidRPr="004A6E37">
        <w:rPr>
          <w:rFonts w:ascii="Times New Roman" w:hAnsi="Times New Roman" w:cs="Times New Roman"/>
          <w:sz w:val="24"/>
          <w:szCs w:val="24"/>
        </w:rPr>
        <w:t>l’article</w:t>
      </w:r>
      <w:r w:rsidR="009442C7" w:rsidRPr="004A6E37">
        <w:rPr>
          <w:rFonts w:ascii="Times New Roman" w:hAnsi="Times New Roman" w:cs="Times New Roman"/>
          <w:sz w:val="24"/>
          <w:szCs w:val="24"/>
        </w:rPr>
        <w:t xml:space="preserve"> 93 de la Loi Uniforme :</w:t>
      </w:r>
      <w:r w:rsidRPr="004A6E37">
        <w:rPr>
          <w:rFonts w:ascii="Times New Roman" w:hAnsi="Times New Roman" w:cs="Times New Roman"/>
          <w:sz w:val="24"/>
          <w:szCs w:val="24"/>
        </w:rPr>
        <w:t xml:space="preserve"> « ….Aux fins d'obtenir les preuves de blanchiment de capitaux et de financement du terrorisme, et de la localisation des produits du crime, le juge d'instruction peut ordonner, conformément à la loi, pour une durée déterminée, sans que le secret professionnel ne puisse lui être opposé, diverses actions, notamment </w:t>
      </w:r>
      <w:r w:rsidRPr="004A6E37">
        <w:rPr>
          <w:rFonts w:ascii="Times New Roman" w:hAnsi="Times New Roman" w:cs="Times New Roman"/>
          <w:b/>
          <w:sz w:val="24"/>
          <w:szCs w:val="24"/>
        </w:rPr>
        <w:t>:</w:t>
      </w:r>
      <w:r w:rsidRPr="004A6E37">
        <w:rPr>
          <w:rFonts w:ascii="Times New Roman" w:hAnsi="Times New Roman" w:cs="Times New Roman"/>
          <w:sz w:val="24"/>
          <w:szCs w:val="24"/>
        </w:rPr>
        <w:t xml:space="preserve"> la surveillance des comptes bancaires et des comptes assim</w:t>
      </w:r>
      <w:r w:rsidR="00A11137" w:rsidRPr="004A6E37">
        <w:rPr>
          <w:rFonts w:ascii="Times New Roman" w:hAnsi="Times New Roman" w:cs="Times New Roman"/>
          <w:sz w:val="24"/>
          <w:szCs w:val="24"/>
        </w:rPr>
        <w:t>ilé</w:t>
      </w:r>
      <w:r w:rsidRPr="004A6E37">
        <w:rPr>
          <w:rFonts w:ascii="Times New Roman" w:hAnsi="Times New Roman" w:cs="Times New Roman"/>
          <w:sz w:val="24"/>
          <w:szCs w:val="24"/>
        </w:rPr>
        <w:t xml:space="preserve">s aux comptes </w:t>
      </w:r>
      <w:r w:rsidRPr="004A6E37">
        <w:rPr>
          <w:rFonts w:ascii="Times New Roman" w:hAnsi="Times New Roman" w:cs="Times New Roman"/>
          <w:sz w:val="24"/>
          <w:szCs w:val="24"/>
        </w:rPr>
        <w:lastRenderedPageBreak/>
        <w:t>bancaires ; l'accès à des systèmes de réseaux et serveurs informatiques utilisés ou susceptibles d'être utilisés par des personnes contre lesquelles existent des indices sérieux de participation à l’infraction… ».</w:t>
      </w:r>
    </w:p>
    <w:p w14:paraId="21C78E2E" w14:textId="77777777" w:rsidR="009B7F30" w:rsidRPr="004A6E37" w:rsidRDefault="002E2BE8" w:rsidP="00920BFE">
      <w:pPr>
        <w:pStyle w:val="Paragraphedeliste"/>
        <w:numPr>
          <w:ilvl w:val="1"/>
          <w:numId w:val="3"/>
        </w:numPr>
        <w:spacing w:line="360" w:lineRule="auto"/>
        <w:jc w:val="both"/>
        <w:outlineLvl w:val="2"/>
        <w:rPr>
          <w:rFonts w:ascii="Times New Roman" w:hAnsi="Times New Roman" w:cs="Times New Roman"/>
          <w:b/>
          <w:sz w:val="24"/>
          <w:szCs w:val="24"/>
        </w:rPr>
      </w:pPr>
      <w:bookmarkStart w:id="18" w:name="_Toc126251864"/>
      <w:r w:rsidRPr="004A6E37">
        <w:rPr>
          <w:rFonts w:ascii="Times New Roman" w:hAnsi="Times New Roman" w:cs="Times New Roman"/>
          <w:b/>
          <w:sz w:val="24"/>
          <w:szCs w:val="24"/>
        </w:rPr>
        <w:t>Institutions</w:t>
      </w:r>
      <w:bookmarkEnd w:id="18"/>
      <w:r w:rsidRPr="004A6E37">
        <w:rPr>
          <w:rFonts w:ascii="Times New Roman" w:hAnsi="Times New Roman" w:cs="Times New Roman"/>
          <w:b/>
          <w:sz w:val="24"/>
          <w:szCs w:val="24"/>
        </w:rPr>
        <w:t xml:space="preserve"> </w:t>
      </w:r>
    </w:p>
    <w:p w14:paraId="7FA64FE7" w14:textId="77777777" w:rsidR="009B7F30" w:rsidRPr="004A6E37" w:rsidRDefault="002E2BE8" w:rsidP="00920BFE">
      <w:pPr>
        <w:pStyle w:val="Paragraphedeliste"/>
        <w:numPr>
          <w:ilvl w:val="2"/>
          <w:numId w:val="3"/>
        </w:numPr>
        <w:spacing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Identification des Institutions</w:t>
      </w:r>
    </w:p>
    <w:p w14:paraId="2A543EEA" w14:textId="77777777" w:rsidR="009B7F30" w:rsidRPr="004A6E37" w:rsidRDefault="002E2BE8" w:rsidP="00920BFE">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Agence pour la promotion des investissements au Mali</w:t>
      </w:r>
      <w:r w:rsidR="00E653D9" w:rsidRPr="004A6E37">
        <w:rPr>
          <w:rFonts w:ascii="Times New Roman" w:hAnsi="Times New Roman" w:cs="Times New Roman"/>
          <w:sz w:val="24"/>
          <w:szCs w:val="24"/>
        </w:rPr>
        <w:t xml:space="preserve"> </w:t>
      </w:r>
      <w:r w:rsidR="002647E6" w:rsidRPr="004A6E37">
        <w:rPr>
          <w:rFonts w:ascii="Times New Roman" w:hAnsi="Times New Roman" w:cs="Times New Roman"/>
          <w:sz w:val="24"/>
          <w:szCs w:val="24"/>
        </w:rPr>
        <w:t>(API</w:t>
      </w:r>
      <w:r w:rsidRPr="004A6E37">
        <w:rPr>
          <w:rFonts w:ascii="Times New Roman" w:hAnsi="Times New Roman" w:cs="Times New Roman"/>
          <w:sz w:val="24"/>
          <w:szCs w:val="24"/>
        </w:rPr>
        <w:t>-</w:t>
      </w:r>
      <w:r w:rsidR="002647E6" w:rsidRPr="004A6E37">
        <w:rPr>
          <w:rFonts w:ascii="Times New Roman" w:hAnsi="Times New Roman" w:cs="Times New Roman"/>
          <w:sz w:val="24"/>
          <w:szCs w:val="24"/>
        </w:rPr>
        <w:t>MALI</w:t>
      </w:r>
      <w:r w:rsidRPr="004A6E37">
        <w:rPr>
          <w:rFonts w:ascii="Times New Roman" w:hAnsi="Times New Roman" w:cs="Times New Roman"/>
          <w:sz w:val="24"/>
          <w:szCs w:val="24"/>
        </w:rPr>
        <w:t>) ;</w:t>
      </w:r>
    </w:p>
    <w:p w14:paraId="7CFE635B" w14:textId="77777777" w:rsidR="009B7F30" w:rsidRPr="004A6E37" w:rsidRDefault="002E2BE8" w:rsidP="00920BFE">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Tribunaux de commerce ;</w:t>
      </w:r>
    </w:p>
    <w:p w14:paraId="46369DC8" w14:textId="77777777" w:rsidR="009B7F30" w:rsidRPr="004A6E37" w:rsidRDefault="002E2BE8" w:rsidP="00920BFE">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Cellule Nationale de Traitement des Informations Financières</w:t>
      </w:r>
      <w:r w:rsidR="00097B36" w:rsidRPr="004A6E37">
        <w:rPr>
          <w:rFonts w:ascii="Times New Roman" w:hAnsi="Times New Roman" w:cs="Times New Roman"/>
          <w:sz w:val="24"/>
          <w:szCs w:val="24"/>
        </w:rPr>
        <w:t xml:space="preserve"> </w:t>
      </w:r>
      <w:r w:rsidRPr="004A6E37">
        <w:rPr>
          <w:rFonts w:ascii="Times New Roman" w:hAnsi="Times New Roman" w:cs="Times New Roman"/>
          <w:sz w:val="24"/>
          <w:szCs w:val="24"/>
        </w:rPr>
        <w:t>(CENTIF) ;</w:t>
      </w:r>
    </w:p>
    <w:p w14:paraId="384FE816" w14:textId="77777777" w:rsidR="009B7F30" w:rsidRPr="004A6E37" w:rsidRDefault="002E2BE8" w:rsidP="00920BFE">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Pôles économiques et financiers auprès des cours d’appels ;</w:t>
      </w:r>
    </w:p>
    <w:p w14:paraId="6C875314" w14:textId="77777777" w:rsidR="009B7F30" w:rsidRPr="004A6E37" w:rsidRDefault="002E2BE8"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Pôle judiciaire spécialisé en matière de lutte contre le terrorisme et la criminalité transnationale organisée ;</w:t>
      </w:r>
    </w:p>
    <w:p w14:paraId="1E8B2439" w14:textId="77777777" w:rsidR="009B7F30" w:rsidRPr="004A6E37" w:rsidRDefault="000F1EA4"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Direction</w:t>
      </w:r>
      <w:r w:rsidR="002E2BE8" w:rsidRPr="004A6E37">
        <w:rPr>
          <w:rFonts w:ascii="Times New Roman" w:hAnsi="Times New Roman" w:cs="Times New Roman"/>
          <w:sz w:val="24"/>
          <w:szCs w:val="24"/>
        </w:rPr>
        <w:t xml:space="preserve"> Général</w:t>
      </w:r>
      <w:r w:rsidRPr="004A6E37">
        <w:rPr>
          <w:rFonts w:ascii="Times New Roman" w:hAnsi="Times New Roman" w:cs="Times New Roman"/>
          <w:sz w:val="24"/>
          <w:szCs w:val="24"/>
        </w:rPr>
        <w:t xml:space="preserve">e des Impôts </w:t>
      </w:r>
      <w:r w:rsidR="002E2BE8" w:rsidRPr="004A6E37">
        <w:rPr>
          <w:rFonts w:ascii="Times New Roman" w:hAnsi="Times New Roman" w:cs="Times New Roman"/>
          <w:sz w:val="24"/>
          <w:szCs w:val="24"/>
        </w:rPr>
        <w:t>;</w:t>
      </w:r>
    </w:p>
    <w:p w14:paraId="5AF95F38" w14:textId="77777777" w:rsidR="009B7F30" w:rsidRPr="004A6E37" w:rsidRDefault="002E2BE8"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Commission Nationale de Coordination des Activités de Lutte contre le blanchiment de</w:t>
      </w:r>
      <w:r w:rsidR="00697E66" w:rsidRPr="004A6E37">
        <w:rPr>
          <w:rFonts w:ascii="Times New Roman" w:hAnsi="Times New Roman" w:cs="Times New Roman"/>
          <w:sz w:val="24"/>
          <w:szCs w:val="24"/>
        </w:rPr>
        <w:t xml:space="preserve"> capitaux et le financement du t</w:t>
      </w:r>
      <w:r w:rsidRPr="004A6E37">
        <w:rPr>
          <w:rFonts w:ascii="Times New Roman" w:hAnsi="Times New Roman" w:cs="Times New Roman"/>
          <w:sz w:val="24"/>
          <w:szCs w:val="24"/>
        </w:rPr>
        <w:t>errorisme et de la prolifération de</w:t>
      </w:r>
      <w:r w:rsidR="007D7657" w:rsidRPr="004A6E37">
        <w:rPr>
          <w:rFonts w:ascii="Times New Roman" w:hAnsi="Times New Roman" w:cs="Times New Roman"/>
          <w:sz w:val="24"/>
          <w:szCs w:val="24"/>
        </w:rPr>
        <w:t>s armes de destruction massive</w:t>
      </w:r>
      <w:r w:rsidRPr="004A6E37">
        <w:rPr>
          <w:rFonts w:ascii="Times New Roman" w:hAnsi="Times New Roman" w:cs="Times New Roman"/>
          <w:sz w:val="24"/>
          <w:szCs w:val="24"/>
        </w:rPr>
        <w:t xml:space="preserve"> ;</w:t>
      </w:r>
    </w:p>
    <w:p w14:paraId="2BC6D03F" w14:textId="77777777" w:rsidR="009B7F30" w:rsidRPr="004A6E37" w:rsidRDefault="002E2BE8"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Comité Interministériel de Lutte contre la Drogue ;</w:t>
      </w:r>
    </w:p>
    <w:p w14:paraId="052FBFC1" w14:textId="77777777" w:rsidR="009B7F30" w:rsidRPr="004A6E37" w:rsidRDefault="002E2BE8"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Programme National Intégré de Lutte contre le trafic illicite de Drogues et la Criminalité transnationale organisée (PNI-LDC</w:t>
      </w:r>
      <w:r w:rsidR="007E56B9" w:rsidRPr="004A6E37">
        <w:rPr>
          <w:rFonts w:ascii="Times New Roman" w:hAnsi="Times New Roman" w:cs="Times New Roman"/>
          <w:sz w:val="24"/>
          <w:szCs w:val="24"/>
        </w:rPr>
        <w:t>) ;</w:t>
      </w:r>
    </w:p>
    <w:p w14:paraId="13DC11CD" w14:textId="77777777" w:rsidR="009B7F30" w:rsidRPr="004A6E37" w:rsidRDefault="002E2BE8"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Centre d'Analyse et de Fusion des Renseignements ;</w:t>
      </w:r>
    </w:p>
    <w:p w14:paraId="7CA3B245" w14:textId="77777777" w:rsidR="009B7F30" w:rsidRPr="004A6E37" w:rsidRDefault="002E2BE8" w:rsidP="00920BFE">
      <w:pPr>
        <w:pStyle w:val="Paragraphedeliste"/>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Centre de Gestion d'Attentats Terroristes.</w:t>
      </w:r>
    </w:p>
    <w:p w14:paraId="2EFB083D" w14:textId="77777777" w:rsidR="009B7F30" w:rsidRPr="004A6E37" w:rsidRDefault="002E2BE8" w:rsidP="00920BFE">
      <w:pPr>
        <w:pStyle w:val="Paragraphedeliste"/>
        <w:numPr>
          <w:ilvl w:val="2"/>
          <w:numId w:val="3"/>
        </w:numPr>
        <w:spacing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Analyse des Institutions</w:t>
      </w:r>
    </w:p>
    <w:p w14:paraId="6F77D9B5" w14:textId="77777777" w:rsidR="009B7F30" w:rsidRPr="004A6E37" w:rsidRDefault="002E2BE8" w:rsidP="00920BFE">
      <w:pPr>
        <w:pStyle w:val="Paragraphedeliste"/>
        <w:numPr>
          <w:ilvl w:val="0"/>
          <w:numId w:val="7"/>
        </w:numPr>
        <w:spacing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Traitement et réponses administratives.</w:t>
      </w:r>
    </w:p>
    <w:p w14:paraId="63E7F4E1" w14:textId="77777777" w:rsidR="009B7F30" w:rsidRPr="004A6E37" w:rsidRDefault="002E2BE8">
      <w:pPr>
        <w:spacing w:line="360" w:lineRule="auto"/>
        <w:ind w:left="60"/>
        <w:jc w:val="both"/>
        <w:rPr>
          <w:rFonts w:ascii="Times New Roman" w:hAnsi="Times New Roman" w:cs="Times New Roman"/>
          <w:sz w:val="24"/>
          <w:szCs w:val="24"/>
        </w:rPr>
      </w:pPr>
      <w:r w:rsidRPr="004A6E37">
        <w:rPr>
          <w:rFonts w:ascii="Times New Roman" w:hAnsi="Times New Roman" w:cs="Times New Roman"/>
          <w:sz w:val="24"/>
          <w:szCs w:val="24"/>
        </w:rPr>
        <w:t>Sur le plan institutionnel, le pays</w:t>
      </w:r>
      <w:r w:rsidR="00A426D6" w:rsidRPr="004A6E37">
        <w:rPr>
          <w:rFonts w:ascii="Times New Roman" w:hAnsi="Times New Roman" w:cs="Times New Roman"/>
          <w:sz w:val="24"/>
          <w:szCs w:val="24"/>
        </w:rPr>
        <w:t xml:space="preserve"> a mis en place</w:t>
      </w:r>
      <w:r w:rsidR="00141865" w:rsidRPr="004A6E37">
        <w:rPr>
          <w:rFonts w:ascii="Times New Roman" w:hAnsi="Times New Roman" w:cs="Times New Roman"/>
          <w:sz w:val="24"/>
          <w:szCs w:val="24"/>
        </w:rPr>
        <w:t xml:space="preserve"> </w:t>
      </w:r>
      <w:r w:rsidRPr="004A6E37">
        <w:rPr>
          <w:rFonts w:ascii="Times New Roman" w:hAnsi="Times New Roman" w:cs="Times New Roman"/>
          <w:sz w:val="24"/>
          <w:szCs w:val="24"/>
        </w:rPr>
        <w:t>un</w:t>
      </w:r>
      <w:r w:rsidR="004204D7" w:rsidRPr="004A6E37">
        <w:rPr>
          <w:rFonts w:ascii="Times New Roman" w:hAnsi="Times New Roman" w:cs="Times New Roman"/>
          <w:sz w:val="24"/>
          <w:szCs w:val="24"/>
        </w:rPr>
        <w:t>e</w:t>
      </w:r>
      <w:r w:rsidRPr="004A6E37">
        <w:rPr>
          <w:rFonts w:ascii="Times New Roman" w:hAnsi="Times New Roman" w:cs="Times New Roman"/>
          <w:sz w:val="24"/>
          <w:szCs w:val="24"/>
        </w:rPr>
        <w:t xml:space="preserve"> Com</w:t>
      </w:r>
      <w:r w:rsidR="004204D7" w:rsidRPr="004A6E37">
        <w:rPr>
          <w:rFonts w:ascii="Times New Roman" w:hAnsi="Times New Roman" w:cs="Times New Roman"/>
          <w:sz w:val="24"/>
          <w:szCs w:val="24"/>
        </w:rPr>
        <w:t>m</w:t>
      </w:r>
      <w:r w:rsidRPr="004A6E37">
        <w:rPr>
          <w:rFonts w:ascii="Times New Roman" w:hAnsi="Times New Roman" w:cs="Times New Roman"/>
          <w:sz w:val="24"/>
          <w:szCs w:val="24"/>
        </w:rPr>
        <w:t>i</w:t>
      </w:r>
      <w:r w:rsidR="004204D7" w:rsidRPr="004A6E37">
        <w:rPr>
          <w:rFonts w:ascii="Times New Roman" w:hAnsi="Times New Roman" w:cs="Times New Roman"/>
          <w:sz w:val="24"/>
          <w:szCs w:val="24"/>
        </w:rPr>
        <w:t>ssion nationale de coordination des activités</w:t>
      </w:r>
      <w:r w:rsidRPr="004A6E37">
        <w:rPr>
          <w:rFonts w:ascii="Times New Roman" w:hAnsi="Times New Roman" w:cs="Times New Roman"/>
          <w:sz w:val="24"/>
          <w:szCs w:val="24"/>
        </w:rPr>
        <w:t xml:space="preserve"> de lutte contre le blanchiment de capitaux et le financement du terrorisme</w:t>
      </w:r>
      <w:r w:rsidR="00A94897" w:rsidRPr="004A6E37">
        <w:rPr>
          <w:rFonts w:ascii="Times New Roman" w:hAnsi="Times New Roman" w:cs="Times New Roman"/>
          <w:sz w:val="24"/>
          <w:szCs w:val="24"/>
        </w:rPr>
        <w:t xml:space="preserve"> et le financement de la prolifération</w:t>
      </w:r>
      <w:r w:rsidRPr="004A6E37">
        <w:rPr>
          <w:rFonts w:ascii="Times New Roman" w:hAnsi="Times New Roman" w:cs="Times New Roman"/>
          <w:sz w:val="24"/>
          <w:szCs w:val="24"/>
        </w:rPr>
        <w:t>. Les domaines concernés par les acteurs qui composent chacun des Comités sont restreints et cela limite le fonctionnement et l’efficacité de ces organes de coordination.</w:t>
      </w:r>
    </w:p>
    <w:p w14:paraId="54AA4CF4" w14:textId="77777777" w:rsidR="009B7F30" w:rsidRPr="004A6E37" w:rsidRDefault="002E2BE8" w:rsidP="006A75D6">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Au point de vue administratif, le traitement est à apprécier par rapport aux institutions ou structures administratives cré</w:t>
      </w:r>
      <w:r w:rsidR="00986EA2" w:rsidRPr="004A6E37">
        <w:rPr>
          <w:rFonts w:ascii="Times New Roman" w:hAnsi="Times New Roman" w:cs="Times New Roman"/>
          <w:sz w:val="24"/>
          <w:szCs w:val="24"/>
        </w:rPr>
        <w:t>é</w:t>
      </w:r>
      <w:r w:rsidRPr="004A6E37">
        <w:rPr>
          <w:rFonts w:ascii="Times New Roman" w:hAnsi="Times New Roman" w:cs="Times New Roman"/>
          <w:sz w:val="24"/>
          <w:szCs w:val="24"/>
        </w:rPr>
        <w:t>es par l’Etat malien dans le cadre de la LCB/FT</w:t>
      </w:r>
      <w:r w:rsidR="00133D11" w:rsidRPr="004A6E37">
        <w:rPr>
          <w:rFonts w:ascii="Times New Roman" w:hAnsi="Times New Roman" w:cs="Times New Roman"/>
          <w:sz w:val="24"/>
          <w:szCs w:val="24"/>
        </w:rPr>
        <w:t xml:space="preserve"> cité ci-haut</w:t>
      </w:r>
      <w:r w:rsidRPr="004A6E37">
        <w:rPr>
          <w:rFonts w:ascii="Times New Roman" w:hAnsi="Times New Roman" w:cs="Times New Roman"/>
          <w:sz w:val="24"/>
          <w:szCs w:val="24"/>
        </w:rPr>
        <w:t xml:space="preserve">. </w:t>
      </w:r>
    </w:p>
    <w:p w14:paraId="24571817" w14:textId="77777777" w:rsidR="009B7F30" w:rsidRPr="004A6E37" w:rsidRDefault="002A0BA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hAnsi="Times New Roman" w:cs="Times New Roman"/>
          <w:b/>
          <w:sz w:val="24"/>
          <w:szCs w:val="24"/>
        </w:rPr>
      </w:pPr>
      <w:r w:rsidRPr="004A6E37">
        <w:rPr>
          <w:rFonts w:ascii="Times New Roman" w:hAnsi="Times New Roman" w:cs="Times New Roman"/>
          <w:b/>
          <w:sz w:val="24"/>
          <w:szCs w:val="24"/>
        </w:rPr>
        <w:t xml:space="preserve">    </w:t>
      </w:r>
      <w:r w:rsidR="00A14480" w:rsidRPr="004A6E37">
        <w:rPr>
          <w:rFonts w:ascii="Times New Roman" w:hAnsi="Times New Roman" w:cs="Times New Roman"/>
          <w:b/>
          <w:sz w:val="24"/>
          <w:szCs w:val="24"/>
        </w:rPr>
        <w:t>b)</w:t>
      </w:r>
      <w:r w:rsidR="002E2BE8" w:rsidRPr="004A6E37">
        <w:rPr>
          <w:rFonts w:ascii="Times New Roman" w:hAnsi="Times New Roman" w:cs="Times New Roman"/>
          <w:b/>
          <w:sz w:val="24"/>
          <w:szCs w:val="24"/>
        </w:rPr>
        <w:t xml:space="preserve"> Réponses sociétales</w:t>
      </w:r>
    </w:p>
    <w:p w14:paraId="3C43EFF7" w14:textId="77777777" w:rsidR="009B7F30" w:rsidRPr="004A6E37" w:rsidRDefault="002E2BE8">
      <w:pPr>
        <w:shd w:val="clear" w:color="auto" w:fill="FFFFFF"/>
        <w:spacing w:after="0" w:line="0" w:lineRule="auto"/>
        <w:rPr>
          <w:rFonts w:ascii="Times New Roman" w:eastAsia="Times New Roman" w:hAnsi="Times New Roman" w:cs="Times New Roman"/>
          <w:sz w:val="72"/>
          <w:szCs w:val="72"/>
          <w:lang w:eastAsia="fr-FR"/>
        </w:rPr>
      </w:pPr>
      <w:r w:rsidRPr="004A6E37">
        <w:rPr>
          <w:rFonts w:ascii="Times New Roman" w:eastAsia="Times New Roman" w:hAnsi="Times New Roman" w:cs="Times New Roman"/>
          <w:sz w:val="72"/>
          <w:szCs w:val="72"/>
          <w:lang w:eastAsia="fr-FR"/>
        </w:rPr>
        <w:t xml:space="preserve">L’érosion de la valeur des sociétés en difficulté (Black, Wright et </w:t>
      </w:r>
      <w:proofErr w:type="spellStart"/>
      <w:r w:rsidRPr="004A6E37">
        <w:rPr>
          <w:rFonts w:ascii="Times New Roman" w:eastAsia="Times New Roman" w:hAnsi="Times New Roman" w:cs="Times New Roman"/>
          <w:sz w:val="72"/>
          <w:szCs w:val="72"/>
          <w:lang w:eastAsia="fr-FR"/>
        </w:rPr>
        <w:t>Bachman</w:t>
      </w:r>
      <w:proofErr w:type="spellEnd"/>
      <w:r w:rsidRPr="004A6E37">
        <w:rPr>
          <w:rFonts w:ascii="Times New Roman" w:eastAsia="Times New Roman" w:hAnsi="Times New Roman" w:cs="Times New Roman"/>
          <w:sz w:val="72"/>
          <w:szCs w:val="72"/>
          <w:lang w:eastAsia="fr-FR"/>
        </w:rPr>
        <w:t xml:space="preserve">, 1999) les </w:t>
      </w:r>
      <w:r w:rsidR="007E56B9" w:rsidRPr="004A6E37">
        <w:rPr>
          <w:rFonts w:ascii="Times New Roman" w:eastAsia="Times New Roman" w:hAnsi="Times New Roman" w:cs="Times New Roman"/>
          <w:sz w:val="72"/>
          <w:szCs w:val="72"/>
          <w:lang w:eastAsia="fr-FR"/>
        </w:rPr>
        <w:t>pousse à</w:t>
      </w:r>
      <w:r w:rsidRPr="004A6E37">
        <w:rPr>
          <w:rFonts w:ascii="Times New Roman" w:eastAsia="Times New Roman" w:hAnsi="Times New Roman" w:cs="Times New Roman"/>
          <w:sz w:val="72"/>
          <w:szCs w:val="72"/>
          <w:lang w:eastAsia="fr-FR"/>
        </w:rPr>
        <w:t xml:space="preserve"> </w:t>
      </w:r>
    </w:p>
    <w:p w14:paraId="1559A6C2" w14:textId="77777777" w:rsidR="009B7F30" w:rsidRPr="004A6E37" w:rsidRDefault="002E2BE8">
      <w:pPr>
        <w:shd w:val="clear" w:color="auto" w:fill="FFFFFF"/>
        <w:spacing w:after="0" w:line="0" w:lineRule="auto"/>
        <w:rPr>
          <w:rFonts w:ascii="Times New Roman" w:eastAsia="Times New Roman" w:hAnsi="Times New Roman" w:cs="Times New Roman"/>
          <w:sz w:val="72"/>
          <w:szCs w:val="72"/>
          <w:lang w:eastAsia="fr-FR"/>
        </w:rPr>
      </w:pPr>
      <w:proofErr w:type="gramStart"/>
      <w:r w:rsidRPr="004A6E37">
        <w:rPr>
          <w:rFonts w:ascii="Times New Roman" w:eastAsia="Times New Roman" w:hAnsi="Times New Roman" w:cs="Times New Roman"/>
          <w:sz w:val="72"/>
          <w:szCs w:val="72"/>
          <w:lang w:eastAsia="fr-FR"/>
        </w:rPr>
        <w:t>tomber</w:t>
      </w:r>
      <w:proofErr w:type="gramEnd"/>
      <w:r w:rsidRPr="004A6E37">
        <w:rPr>
          <w:rFonts w:ascii="Times New Roman" w:eastAsia="Times New Roman" w:hAnsi="Times New Roman" w:cs="Times New Roman"/>
          <w:sz w:val="72"/>
          <w:szCs w:val="72"/>
          <w:lang w:eastAsia="fr-FR"/>
        </w:rPr>
        <w:t xml:space="preserve"> dans  l’escarcelle des blanchisseurs  afin de renflouer  la trésorerie et  d’éviter  la faillite.  Le </w:t>
      </w:r>
    </w:p>
    <w:p w14:paraId="2B5F13A7" w14:textId="77777777" w:rsidR="009B7F30" w:rsidRPr="004A6E37" w:rsidRDefault="002E2BE8">
      <w:pPr>
        <w:shd w:val="clear" w:color="auto" w:fill="FFFFFF"/>
        <w:spacing w:after="0" w:line="0" w:lineRule="auto"/>
        <w:rPr>
          <w:rFonts w:ascii="Times New Roman" w:eastAsia="Times New Roman" w:hAnsi="Times New Roman" w:cs="Times New Roman"/>
          <w:sz w:val="72"/>
          <w:szCs w:val="72"/>
          <w:lang w:eastAsia="fr-FR"/>
        </w:rPr>
      </w:pPr>
      <w:proofErr w:type="gramStart"/>
      <w:r w:rsidRPr="004A6E37">
        <w:rPr>
          <w:rFonts w:ascii="Times New Roman" w:eastAsia="Times New Roman" w:hAnsi="Times New Roman" w:cs="Times New Roman"/>
          <w:sz w:val="72"/>
          <w:szCs w:val="72"/>
          <w:lang w:eastAsia="fr-FR"/>
        </w:rPr>
        <w:t>recyclage</w:t>
      </w:r>
      <w:proofErr w:type="gramEnd"/>
      <w:r w:rsidRPr="004A6E37">
        <w:rPr>
          <w:rFonts w:ascii="Times New Roman" w:eastAsia="Times New Roman" w:hAnsi="Times New Roman" w:cs="Times New Roman"/>
          <w:sz w:val="72"/>
          <w:szCs w:val="72"/>
          <w:lang w:eastAsia="fr-FR"/>
        </w:rPr>
        <w:t xml:space="preserve"> d’argent, capable de laisser une marge non négligeable de trésorerie, peut les sauver. Il les  </w:t>
      </w:r>
    </w:p>
    <w:p w14:paraId="7981C9D4" w14:textId="77777777" w:rsidR="009B7F30" w:rsidRPr="004A6E37" w:rsidRDefault="002E2BE8">
      <w:pPr>
        <w:shd w:val="clear" w:color="auto" w:fill="FFFFFF"/>
        <w:spacing w:after="0" w:line="0" w:lineRule="auto"/>
        <w:rPr>
          <w:rFonts w:ascii="Times New Roman" w:eastAsia="Times New Roman" w:hAnsi="Times New Roman" w:cs="Times New Roman"/>
          <w:sz w:val="72"/>
          <w:szCs w:val="72"/>
          <w:lang w:eastAsia="fr-FR"/>
        </w:rPr>
      </w:pPr>
      <w:proofErr w:type="gramStart"/>
      <w:r w:rsidRPr="004A6E37">
        <w:rPr>
          <w:rFonts w:ascii="Times New Roman" w:eastAsia="Times New Roman" w:hAnsi="Times New Roman" w:cs="Times New Roman"/>
          <w:sz w:val="72"/>
          <w:szCs w:val="72"/>
          <w:lang w:eastAsia="fr-FR"/>
        </w:rPr>
        <w:t>dispense</w:t>
      </w:r>
      <w:proofErr w:type="gramEnd"/>
      <w:r w:rsidRPr="004A6E37">
        <w:rPr>
          <w:rFonts w:ascii="Times New Roman" w:eastAsia="Times New Roman" w:hAnsi="Times New Roman" w:cs="Times New Roman"/>
          <w:sz w:val="72"/>
          <w:szCs w:val="72"/>
          <w:lang w:eastAsia="fr-FR"/>
        </w:rPr>
        <w:t xml:space="preserve"> également d’avoir recours à l’emprunt, donc à la baisse du coût du capital. Les difficultés </w:t>
      </w:r>
    </w:p>
    <w:p w14:paraId="0328B3E5" w14:textId="77777777" w:rsidR="009B7F30" w:rsidRPr="004A6E37" w:rsidRDefault="002E2BE8">
      <w:pPr>
        <w:shd w:val="clear" w:color="auto" w:fill="FFFFFF"/>
        <w:spacing w:after="0" w:line="0" w:lineRule="auto"/>
        <w:rPr>
          <w:rFonts w:ascii="Times New Roman" w:eastAsia="Times New Roman" w:hAnsi="Times New Roman" w:cs="Times New Roman"/>
          <w:sz w:val="72"/>
          <w:szCs w:val="72"/>
          <w:lang w:eastAsia="fr-FR"/>
        </w:rPr>
      </w:pPr>
      <w:proofErr w:type="gramStart"/>
      <w:r w:rsidRPr="004A6E37">
        <w:rPr>
          <w:rFonts w:ascii="Times New Roman" w:eastAsia="Times New Roman" w:hAnsi="Times New Roman" w:cs="Times New Roman"/>
          <w:sz w:val="72"/>
          <w:szCs w:val="72"/>
          <w:lang w:eastAsia="fr-FR"/>
        </w:rPr>
        <w:t>financières</w:t>
      </w:r>
      <w:proofErr w:type="gramEnd"/>
      <w:r w:rsidRPr="004A6E37">
        <w:rPr>
          <w:rFonts w:ascii="Times New Roman" w:eastAsia="Times New Roman" w:hAnsi="Times New Roman" w:cs="Times New Roman"/>
          <w:sz w:val="72"/>
          <w:szCs w:val="72"/>
          <w:lang w:eastAsia="fr-FR"/>
        </w:rPr>
        <w:t xml:space="preserve"> poussent parfois les actionnaires à se débarrasser d’urgence de l’entreprise en la vendant à</w:t>
      </w:r>
    </w:p>
    <w:p w14:paraId="4B89FEA1"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L’Etat du Mali a un réel besoin d’élaborer une stratégie appropriée qui combine les réponses état</w:t>
      </w:r>
      <w:r w:rsidR="00E77270" w:rsidRPr="004A6E37">
        <w:rPr>
          <w:rFonts w:ascii="Times New Roman" w:hAnsi="Times New Roman" w:cs="Times New Roman"/>
          <w:sz w:val="24"/>
          <w:szCs w:val="24"/>
        </w:rPr>
        <w:t>iques et sociétales. En effet, l</w:t>
      </w:r>
      <w:r w:rsidRPr="004A6E37">
        <w:rPr>
          <w:rFonts w:ascii="Times New Roman" w:hAnsi="Times New Roman" w:cs="Times New Roman"/>
          <w:sz w:val="24"/>
          <w:szCs w:val="24"/>
        </w:rPr>
        <w:t xml:space="preserve">e BC/FT soulève sur le plan sociétal des questions d’autant plus </w:t>
      </w:r>
      <w:r w:rsidRPr="004A6E37">
        <w:rPr>
          <w:rFonts w:ascii="Times New Roman" w:hAnsi="Times New Roman" w:cs="Times New Roman"/>
          <w:sz w:val="24"/>
          <w:szCs w:val="24"/>
        </w:rPr>
        <w:lastRenderedPageBreak/>
        <w:t>difficiles à r</w:t>
      </w:r>
      <w:r w:rsidR="009E6AA3" w:rsidRPr="004A6E37">
        <w:rPr>
          <w:rFonts w:ascii="Times New Roman" w:hAnsi="Times New Roman" w:cs="Times New Roman"/>
          <w:sz w:val="24"/>
          <w:szCs w:val="24"/>
        </w:rPr>
        <w:t>ésoudre qu’il</w:t>
      </w:r>
      <w:r w:rsidRPr="004A6E37">
        <w:rPr>
          <w:rFonts w:ascii="Times New Roman" w:hAnsi="Times New Roman" w:cs="Times New Roman"/>
          <w:sz w:val="24"/>
          <w:szCs w:val="24"/>
        </w:rPr>
        <w:t xml:space="preserve"> affecte tou</w:t>
      </w:r>
      <w:r w:rsidR="000F1EA4" w:rsidRPr="004A6E37">
        <w:rPr>
          <w:rFonts w:ascii="Times New Roman" w:hAnsi="Times New Roman" w:cs="Times New Roman"/>
          <w:sz w:val="24"/>
          <w:szCs w:val="24"/>
        </w:rPr>
        <w:t xml:space="preserve">te une société globalisée. La </w:t>
      </w:r>
      <w:r w:rsidRPr="004A6E37">
        <w:rPr>
          <w:rFonts w:ascii="Times New Roman" w:hAnsi="Times New Roman" w:cs="Times New Roman"/>
          <w:sz w:val="24"/>
          <w:szCs w:val="24"/>
        </w:rPr>
        <w:t>sensibilisation dans toutes les couches sociales</w:t>
      </w:r>
      <w:r w:rsidR="000F1EA4" w:rsidRPr="004A6E37">
        <w:rPr>
          <w:rFonts w:ascii="Times New Roman" w:hAnsi="Times New Roman" w:cs="Times New Roman"/>
          <w:sz w:val="24"/>
          <w:szCs w:val="24"/>
        </w:rPr>
        <w:t xml:space="preserve"> s’avère une nécessité</w:t>
      </w:r>
      <w:r w:rsidRPr="004A6E37">
        <w:rPr>
          <w:rFonts w:ascii="Times New Roman" w:hAnsi="Times New Roman" w:cs="Times New Roman"/>
          <w:sz w:val="24"/>
          <w:szCs w:val="24"/>
        </w:rPr>
        <w:t xml:space="preserve">. </w:t>
      </w:r>
      <w:r w:rsidR="000F1EA4" w:rsidRPr="004A6E37">
        <w:rPr>
          <w:rFonts w:ascii="Times New Roman" w:hAnsi="Times New Roman" w:cs="Times New Roman"/>
          <w:sz w:val="24"/>
          <w:szCs w:val="24"/>
        </w:rPr>
        <w:t>Elle</w:t>
      </w:r>
      <w:r w:rsidRPr="004A6E37">
        <w:rPr>
          <w:rFonts w:ascii="Times New Roman" w:hAnsi="Times New Roman" w:cs="Times New Roman"/>
          <w:sz w:val="24"/>
          <w:szCs w:val="24"/>
        </w:rPr>
        <w:t xml:space="preserve"> consiste surtout à informer les entrepreneurs évoluant dans le</w:t>
      </w:r>
      <w:r w:rsidR="00882ECE" w:rsidRPr="004A6E37">
        <w:rPr>
          <w:rFonts w:ascii="Times New Roman" w:hAnsi="Times New Roman" w:cs="Times New Roman"/>
          <w:sz w:val="24"/>
          <w:szCs w:val="24"/>
        </w:rPr>
        <w:t>s secteurs formels et informels</w:t>
      </w:r>
      <w:r w:rsidRPr="004A6E37">
        <w:rPr>
          <w:rFonts w:ascii="Times New Roman" w:hAnsi="Times New Roman" w:cs="Times New Roman"/>
          <w:sz w:val="24"/>
          <w:szCs w:val="24"/>
        </w:rPr>
        <w:t xml:space="preserve"> de la nécessité d</w:t>
      </w:r>
      <w:r w:rsidR="001C673A" w:rsidRPr="004A6E37">
        <w:rPr>
          <w:rFonts w:ascii="Times New Roman" w:hAnsi="Times New Roman" w:cs="Times New Roman"/>
          <w:sz w:val="24"/>
          <w:szCs w:val="24"/>
        </w:rPr>
        <w:t>’instaurer des c</w:t>
      </w:r>
      <w:r w:rsidRPr="004A6E37">
        <w:rPr>
          <w:rFonts w:ascii="Times New Roman" w:hAnsi="Times New Roman" w:cs="Times New Roman"/>
          <w:sz w:val="24"/>
          <w:szCs w:val="24"/>
        </w:rPr>
        <w:t xml:space="preserve">odes de conduite, mais également à sensibiliser les différents acteurs sur le rôle qu’ils peuvent jouer pour éviter l’envahissement des tissus économiques par les blanchisseurs. De plus, les autorités publiques, surtout dans le cadre de la lutte contre le terrorisme, doivent mettre </w:t>
      </w:r>
      <w:r w:rsidR="002E6BF9" w:rsidRPr="004A6E37">
        <w:rPr>
          <w:rFonts w:ascii="Times New Roman" w:hAnsi="Times New Roman" w:cs="Times New Roman"/>
          <w:sz w:val="24"/>
          <w:szCs w:val="24"/>
        </w:rPr>
        <w:t>en œuvre des règles de conduite</w:t>
      </w:r>
      <w:r w:rsidRPr="004A6E37">
        <w:rPr>
          <w:rFonts w:ascii="Times New Roman" w:hAnsi="Times New Roman" w:cs="Times New Roman"/>
          <w:sz w:val="24"/>
          <w:szCs w:val="24"/>
        </w:rPr>
        <w:t xml:space="preserve"> permettant d’éviter un enrichissement illicite favorisant le financement des activités terroristes. </w:t>
      </w:r>
    </w:p>
    <w:p w14:paraId="07FA474D" w14:textId="77777777" w:rsidR="00AE3996" w:rsidRPr="004A6E37" w:rsidRDefault="00AE3996">
      <w:pPr>
        <w:spacing w:line="360" w:lineRule="auto"/>
        <w:jc w:val="both"/>
        <w:rPr>
          <w:rFonts w:ascii="Times New Roman" w:hAnsi="Times New Roman" w:cs="Times New Roman"/>
          <w:b/>
          <w:sz w:val="6"/>
          <w:szCs w:val="24"/>
        </w:rPr>
      </w:pPr>
    </w:p>
    <w:p w14:paraId="278E132A" w14:textId="77777777" w:rsidR="009B7F30" w:rsidRPr="004A6E37" w:rsidRDefault="00392744" w:rsidP="0075262F">
      <w:pPr>
        <w:pStyle w:val="Titre2"/>
        <w:numPr>
          <w:ilvl w:val="0"/>
          <w:numId w:val="0"/>
        </w:numPr>
        <w:ind w:left="576" w:hanging="576"/>
        <w:rPr>
          <w:rFonts w:ascii="Times New Roman" w:hAnsi="Times New Roman" w:cs="Times New Roman"/>
          <w:b/>
          <w:color w:val="auto"/>
          <w:sz w:val="24"/>
          <w:szCs w:val="24"/>
        </w:rPr>
      </w:pPr>
      <w:bookmarkStart w:id="19" w:name="_Toc126251865"/>
      <w:r w:rsidRPr="004A6E37">
        <w:rPr>
          <w:rFonts w:ascii="Times New Roman" w:hAnsi="Times New Roman" w:cs="Times New Roman"/>
          <w:b/>
          <w:color w:val="auto"/>
          <w:sz w:val="24"/>
          <w:szCs w:val="24"/>
        </w:rPr>
        <w:t>II.</w:t>
      </w:r>
      <w:r w:rsidR="00AF6ACD" w:rsidRPr="004A6E37">
        <w:rPr>
          <w:rFonts w:ascii="Times New Roman" w:hAnsi="Times New Roman" w:cs="Times New Roman"/>
          <w:b/>
          <w:color w:val="auto"/>
          <w:sz w:val="24"/>
          <w:szCs w:val="24"/>
        </w:rPr>
        <w:t xml:space="preserve"> MECANISME DE CREATION ET D’ETABLISSEMENT DES PERSONNES MORALES ET AUTRES CONSTRUCTIONS JURIDIQUES</w:t>
      </w:r>
      <w:bookmarkEnd w:id="19"/>
    </w:p>
    <w:p w14:paraId="108202F5" w14:textId="77777777" w:rsidR="009B7F30" w:rsidRPr="004A6E37" w:rsidRDefault="002E2BE8" w:rsidP="0075262F">
      <w:pPr>
        <w:pStyle w:val="Titre3"/>
        <w:numPr>
          <w:ilvl w:val="0"/>
          <w:numId w:val="0"/>
        </w:numPr>
        <w:ind w:left="720" w:hanging="720"/>
        <w:rPr>
          <w:sz w:val="24"/>
          <w:szCs w:val="24"/>
        </w:rPr>
      </w:pPr>
      <w:bookmarkStart w:id="20" w:name="_Toc126251866"/>
      <w:r w:rsidRPr="004A6E37">
        <w:rPr>
          <w:sz w:val="24"/>
          <w:szCs w:val="24"/>
        </w:rPr>
        <w:t>2.1. Mécanisme de création des personnes morales</w:t>
      </w:r>
      <w:bookmarkEnd w:id="20"/>
      <w:r w:rsidRPr="004A6E37">
        <w:rPr>
          <w:sz w:val="24"/>
          <w:szCs w:val="24"/>
        </w:rPr>
        <w:t xml:space="preserve"> </w:t>
      </w:r>
    </w:p>
    <w:p w14:paraId="66B83C88" w14:textId="77777777" w:rsidR="00A87AD7" w:rsidRPr="004A6E37" w:rsidRDefault="0091591E" w:rsidP="00B86CE4">
      <w:pPr>
        <w:tabs>
          <w:tab w:val="left" w:pos="4253"/>
        </w:tabs>
        <w:spacing w:after="0" w:line="360" w:lineRule="auto"/>
        <w:ind w:left="708"/>
        <w:jc w:val="both"/>
        <w:rPr>
          <w:rFonts w:ascii="Times New Roman" w:hAnsi="Times New Roman" w:cs="Times New Roman"/>
          <w:b/>
          <w:sz w:val="24"/>
          <w:szCs w:val="24"/>
        </w:rPr>
      </w:pPr>
      <w:r w:rsidRPr="004A6E37">
        <w:rPr>
          <w:rFonts w:ascii="Times New Roman" w:hAnsi="Times New Roman" w:cs="Times New Roman"/>
          <w:b/>
          <w:sz w:val="24"/>
          <w:szCs w:val="24"/>
        </w:rPr>
        <w:t>2.1.1 C</w:t>
      </w:r>
      <w:r w:rsidR="00A87AD7" w:rsidRPr="004A6E37">
        <w:rPr>
          <w:rFonts w:ascii="Times New Roman" w:hAnsi="Times New Roman" w:cs="Times New Roman"/>
          <w:b/>
          <w:sz w:val="24"/>
          <w:szCs w:val="24"/>
        </w:rPr>
        <w:t>réation et établisse</w:t>
      </w:r>
      <w:r w:rsidR="000A6210" w:rsidRPr="004A6E37">
        <w:rPr>
          <w:rFonts w:ascii="Times New Roman" w:hAnsi="Times New Roman" w:cs="Times New Roman"/>
          <w:b/>
          <w:sz w:val="24"/>
          <w:szCs w:val="24"/>
        </w:rPr>
        <w:t xml:space="preserve">ment </w:t>
      </w:r>
    </w:p>
    <w:p w14:paraId="44F70AD8" w14:textId="77777777" w:rsidR="00A87AD7" w:rsidRPr="004A6E37" w:rsidRDefault="00A87AD7">
      <w:pPr>
        <w:spacing w:after="0" w:line="360" w:lineRule="auto"/>
        <w:jc w:val="both"/>
        <w:rPr>
          <w:rFonts w:ascii="Times New Roman" w:hAnsi="Times New Roman" w:cs="Times New Roman"/>
          <w:b/>
          <w:sz w:val="24"/>
          <w:szCs w:val="24"/>
        </w:rPr>
      </w:pPr>
      <w:r w:rsidRPr="004A6E37">
        <w:rPr>
          <w:rFonts w:ascii="Times New Roman" w:hAnsi="Times New Roman" w:cs="Times New Roman"/>
          <w:sz w:val="24"/>
          <w:szCs w:val="24"/>
        </w:rPr>
        <w:t>La procédure de création d’une entreprise au Mali consiste en des formalités</w:t>
      </w:r>
      <w:r w:rsidR="00D31654" w:rsidRPr="004A6E37">
        <w:rPr>
          <w:rFonts w:ascii="Times New Roman" w:hAnsi="Times New Roman" w:cs="Times New Roman"/>
          <w:sz w:val="24"/>
          <w:szCs w:val="24"/>
        </w:rPr>
        <w:t xml:space="preserve"> à</w:t>
      </w:r>
      <w:r w:rsidRPr="004A6E37">
        <w:rPr>
          <w:rFonts w:ascii="Times New Roman" w:hAnsi="Times New Roman" w:cs="Times New Roman"/>
          <w:sz w:val="24"/>
          <w:szCs w:val="24"/>
        </w:rPr>
        <w:t xml:space="preserve"> accomplir au sein du guichet unique de l’API</w:t>
      </w:r>
      <w:r w:rsidR="000A6210" w:rsidRPr="004A6E37">
        <w:rPr>
          <w:rFonts w:ascii="Times New Roman" w:hAnsi="Times New Roman" w:cs="Times New Roman"/>
          <w:sz w:val="24"/>
          <w:szCs w:val="24"/>
        </w:rPr>
        <w:t>-</w:t>
      </w:r>
      <w:r w:rsidR="006D72DE" w:rsidRPr="004A6E37">
        <w:rPr>
          <w:rFonts w:ascii="Times New Roman" w:hAnsi="Times New Roman" w:cs="Times New Roman"/>
          <w:sz w:val="24"/>
          <w:szCs w:val="24"/>
        </w:rPr>
        <w:t xml:space="preserve">MALI </w:t>
      </w:r>
      <w:r w:rsidR="003F4878" w:rsidRPr="004A6E37">
        <w:rPr>
          <w:rFonts w:ascii="Times New Roman" w:hAnsi="Times New Roman" w:cs="Times New Roman"/>
          <w:sz w:val="24"/>
          <w:szCs w:val="24"/>
        </w:rPr>
        <w:t>conformément au Décret</w:t>
      </w:r>
      <w:r w:rsidRPr="004A6E37">
        <w:rPr>
          <w:rFonts w:ascii="Times New Roman" w:hAnsi="Times New Roman" w:cs="Times New Roman"/>
          <w:sz w:val="24"/>
          <w:szCs w:val="24"/>
        </w:rPr>
        <w:t xml:space="preserve"> n°08-276 /P-RM du 13 mai 2008, modifié qui fixe les formalités administratives de création d’entreprise par le guichet unique au sein de l’agence pour la promotion des investissements au Mali</w:t>
      </w:r>
      <w:r w:rsidR="000A6210" w:rsidRPr="004A6E37">
        <w:rPr>
          <w:rFonts w:ascii="Times New Roman" w:hAnsi="Times New Roman" w:cs="Times New Roman"/>
          <w:sz w:val="24"/>
          <w:szCs w:val="24"/>
        </w:rPr>
        <w:t xml:space="preserve"> (API-</w:t>
      </w:r>
      <w:r w:rsidR="006D72DE" w:rsidRPr="004A6E37">
        <w:rPr>
          <w:rFonts w:ascii="Times New Roman" w:hAnsi="Times New Roman" w:cs="Times New Roman"/>
          <w:sz w:val="24"/>
          <w:szCs w:val="24"/>
        </w:rPr>
        <w:t>MALI</w:t>
      </w:r>
      <w:r w:rsidR="000A6210" w:rsidRPr="004A6E37">
        <w:rPr>
          <w:rFonts w:ascii="Times New Roman" w:hAnsi="Times New Roman" w:cs="Times New Roman"/>
          <w:sz w:val="24"/>
          <w:szCs w:val="24"/>
        </w:rPr>
        <w:t>)</w:t>
      </w:r>
      <w:r w:rsidRPr="004A6E37">
        <w:rPr>
          <w:rFonts w:ascii="Times New Roman" w:hAnsi="Times New Roman" w:cs="Times New Roman"/>
          <w:sz w:val="24"/>
          <w:szCs w:val="24"/>
        </w:rPr>
        <w:t>.</w:t>
      </w:r>
      <w:r w:rsidRPr="004A6E37">
        <w:rPr>
          <w:rFonts w:ascii="Times New Roman" w:hAnsi="Times New Roman" w:cs="Times New Roman"/>
          <w:b/>
          <w:sz w:val="24"/>
          <w:szCs w:val="24"/>
        </w:rPr>
        <w:t xml:space="preserve"> </w:t>
      </w:r>
    </w:p>
    <w:p w14:paraId="5467C75A" w14:textId="77777777" w:rsidR="009B7F30" w:rsidRPr="004A6E37" w:rsidRDefault="002E2BE8">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La reconnaissance de la personnalité morale est conditionnée par l’accomplissement de certaine</w:t>
      </w:r>
      <w:r w:rsidR="005D7B2D" w:rsidRPr="004A6E37">
        <w:rPr>
          <w:rFonts w:ascii="Times New Roman" w:hAnsi="Times New Roman" w:cs="Times New Roman"/>
          <w:sz w:val="24"/>
          <w:szCs w:val="24"/>
        </w:rPr>
        <w:t>s</w:t>
      </w:r>
      <w:r w:rsidRPr="004A6E37">
        <w:rPr>
          <w:rFonts w:ascii="Times New Roman" w:hAnsi="Times New Roman" w:cs="Times New Roman"/>
          <w:sz w:val="24"/>
          <w:szCs w:val="24"/>
        </w:rPr>
        <w:t xml:space="preserve"> formalité</w:t>
      </w:r>
      <w:r w:rsidR="005D7B2D" w:rsidRPr="004A6E37">
        <w:rPr>
          <w:rFonts w:ascii="Times New Roman" w:hAnsi="Times New Roman" w:cs="Times New Roman"/>
          <w:sz w:val="24"/>
          <w:szCs w:val="24"/>
        </w:rPr>
        <w:t>s</w:t>
      </w:r>
      <w:r w:rsidRPr="004A6E37">
        <w:rPr>
          <w:rFonts w:ascii="Times New Roman" w:hAnsi="Times New Roman" w:cs="Times New Roman"/>
          <w:sz w:val="24"/>
          <w:szCs w:val="24"/>
        </w:rPr>
        <w:t xml:space="preserve"> comme l’obligation d’immatriculation et de publicité, mais sa situation avant son immatriculation mérite aussi une certaine précision en raison de la comp</w:t>
      </w:r>
      <w:r w:rsidR="00F236B5" w:rsidRPr="004A6E37">
        <w:rPr>
          <w:rFonts w:ascii="Times New Roman" w:hAnsi="Times New Roman" w:cs="Times New Roman"/>
          <w:sz w:val="24"/>
          <w:szCs w:val="24"/>
        </w:rPr>
        <w:t>lexité des relations mis</w:t>
      </w:r>
      <w:r w:rsidR="002554AC" w:rsidRPr="004A6E37">
        <w:rPr>
          <w:rFonts w:ascii="Times New Roman" w:hAnsi="Times New Roman" w:cs="Times New Roman"/>
          <w:sz w:val="24"/>
          <w:szCs w:val="24"/>
        </w:rPr>
        <w:t>es</w:t>
      </w:r>
      <w:r w:rsidR="00F236B5" w:rsidRPr="004A6E37">
        <w:rPr>
          <w:rFonts w:ascii="Times New Roman" w:hAnsi="Times New Roman" w:cs="Times New Roman"/>
          <w:sz w:val="24"/>
          <w:szCs w:val="24"/>
        </w:rPr>
        <w:t xml:space="preserve"> en jeu</w:t>
      </w:r>
      <w:r w:rsidR="006F2AF6" w:rsidRPr="004A6E37">
        <w:rPr>
          <w:rFonts w:ascii="Times New Roman" w:hAnsi="Times New Roman" w:cs="Times New Roman"/>
          <w:sz w:val="24"/>
          <w:szCs w:val="24"/>
        </w:rPr>
        <w:t>. D’</w:t>
      </w:r>
      <w:r w:rsidR="00EF693F" w:rsidRPr="004A6E37">
        <w:rPr>
          <w:rFonts w:ascii="Times New Roman" w:hAnsi="Times New Roman" w:cs="Times New Roman"/>
          <w:sz w:val="24"/>
          <w:szCs w:val="24"/>
        </w:rPr>
        <w:t>emblée</w:t>
      </w:r>
      <w:r w:rsidRPr="004A6E37">
        <w:rPr>
          <w:rFonts w:ascii="Times New Roman" w:hAnsi="Times New Roman" w:cs="Times New Roman"/>
          <w:sz w:val="24"/>
          <w:szCs w:val="24"/>
        </w:rPr>
        <w:t>, on peut dire que la personnification de la personne morale est sujet de son immatriculation. C’est ainsi que le législateur</w:t>
      </w:r>
      <w:r w:rsidR="006A2512" w:rsidRPr="004A6E37">
        <w:rPr>
          <w:rFonts w:ascii="Times New Roman" w:hAnsi="Times New Roman" w:cs="Times New Roman"/>
          <w:sz w:val="24"/>
          <w:szCs w:val="24"/>
        </w:rPr>
        <w:t xml:space="preserve"> de l’Acte Uniforme</w:t>
      </w:r>
      <w:r w:rsidRPr="004A6E37">
        <w:rPr>
          <w:rFonts w:ascii="Times New Roman" w:hAnsi="Times New Roman" w:cs="Times New Roman"/>
          <w:sz w:val="24"/>
          <w:szCs w:val="24"/>
        </w:rPr>
        <w:t xml:space="preserve"> </w:t>
      </w:r>
      <w:r w:rsidR="006A2512" w:rsidRPr="004A6E37">
        <w:rPr>
          <w:rFonts w:ascii="Times New Roman" w:hAnsi="Times New Roman" w:cs="Times New Roman"/>
          <w:sz w:val="24"/>
          <w:szCs w:val="24"/>
        </w:rPr>
        <w:t>de l’</w:t>
      </w:r>
      <w:r w:rsidRPr="004A6E37">
        <w:rPr>
          <w:rFonts w:ascii="Times New Roman" w:hAnsi="Times New Roman" w:cs="Times New Roman"/>
          <w:sz w:val="24"/>
          <w:szCs w:val="24"/>
        </w:rPr>
        <w:t>OHADA a prescrit dans l’Acte uniforme portant sur le Droit des Sociétés et GIE</w:t>
      </w:r>
      <w:r w:rsidR="006F2AF6" w:rsidRPr="004A6E37">
        <w:rPr>
          <w:rFonts w:ascii="Times New Roman" w:hAnsi="Times New Roman" w:cs="Times New Roman"/>
          <w:sz w:val="24"/>
          <w:szCs w:val="24"/>
        </w:rPr>
        <w:t xml:space="preserve"> (groupement</w:t>
      </w:r>
      <w:r w:rsidR="0015143B" w:rsidRPr="004A6E37">
        <w:rPr>
          <w:rFonts w:ascii="Times New Roman" w:hAnsi="Times New Roman" w:cs="Times New Roman"/>
          <w:sz w:val="24"/>
          <w:szCs w:val="24"/>
        </w:rPr>
        <w:t>s</w:t>
      </w:r>
      <w:r w:rsidR="006F2AF6" w:rsidRPr="004A6E37">
        <w:rPr>
          <w:rFonts w:ascii="Times New Roman" w:hAnsi="Times New Roman" w:cs="Times New Roman"/>
          <w:sz w:val="24"/>
          <w:szCs w:val="24"/>
        </w:rPr>
        <w:t xml:space="preserve"> d’intérêt économique)</w:t>
      </w:r>
      <w:r w:rsidRPr="004A6E37">
        <w:rPr>
          <w:rFonts w:ascii="Times New Roman" w:hAnsi="Times New Roman" w:cs="Times New Roman"/>
          <w:sz w:val="24"/>
          <w:szCs w:val="24"/>
        </w:rPr>
        <w:t xml:space="preserve"> l’immatriculation obligatoire des sociét</w:t>
      </w:r>
      <w:r w:rsidR="002845C3" w:rsidRPr="004A6E37">
        <w:rPr>
          <w:rFonts w:ascii="Times New Roman" w:hAnsi="Times New Roman" w:cs="Times New Roman"/>
          <w:sz w:val="24"/>
          <w:szCs w:val="24"/>
        </w:rPr>
        <w:t>és commerciales au Registre du C</w:t>
      </w:r>
      <w:r w:rsidRPr="004A6E37">
        <w:rPr>
          <w:rFonts w:ascii="Times New Roman" w:hAnsi="Times New Roman" w:cs="Times New Roman"/>
          <w:sz w:val="24"/>
          <w:szCs w:val="24"/>
        </w:rPr>
        <w:t xml:space="preserve">ommerce et du Crédit Mobilier (RCCM) pour qu’il puisse jouir de la personnalité juridique. Rappelant que la personnalité juridique peut se définir comme étant l’aptitude à être titulaire de droits </w:t>
      </w:r>
      <w:r w:rsidR="005754F2" w:rsidRPr="004A6E37">
        <w:rPr>
          <w:rFonts w:ascii="Times New Roman" w:hAnsi="Times New Roman" w:cs="Times New Roman"/>
          <w:sz w:val="24"/>
          <w:szCs w:val="24"/>
        </w:rPr>
        <w:t>et obligations</w:t>
      </w:r>
      <w:r w:rsidR="006949F8" w:rsidRPr="004A6E37">
        <w:rPr>
          <w:rFonts w:ascii="Times New Roman" w:hAnsi="Times New Roman" w:cs="Times New Roman"/>
          <w:sz w:val="24"/>
          <w:szCs w:val="24"/>
        </w:rPr>
        <w:t xml:space="preserve"> à exercer</w:t>
      </w:r>
      <w:r w:rsidRPr="004A6E37">
        <w:rPr>
          <w:rFonts w:ascii="Times New Roman" w:hAnsi="Times New Roman" w:cs="Times New Roman"/>
          <w:sz w:val="24"/>
          <w:szCs w:val="24"/>
        </w:rPr>
        <w:t xml:space="preserve">. Cette obligation d’immatriculation doit être suivie de la formalité de publicité. </w:t>
      </w:r>
    </w:p>
    <w:p w14:paraId="2C579B18" w14:textId="77777777" w:rsidR="009B7F30" w:rsidRPr="004A6E37" w:rsidRDefault="002E2BE8" w:rsidP="00B86CE4">
      <w:pPr>
        <w:spacing w:after="0" w:line="360" w:lineRule="auto"/>
        <w:ind w:left="708"/>
        <w:jc w:val="both"/>
        <w:rPr>
          <w:rFonts w:ascii="Times New Roman" w:hAnsi="Times New Roman" w:cs="Times New Roman"/>
          <w:b/>
          <w:sz w:val="24"/>
          <w:szCs w:val="24"/>
        </w:rPr>
      </w:pPr>
      <w:r w:rsidRPr="004A6E37">
        <w:rPr>
          <w:rFonts w:ascii="Times New Roman" w:hAnsi="Times New Roman" w:cs="Times New Roman"/>
          <w:b/>
          <w:sz w:val="24"/>
          <w:szCs w:val="24"/>
        </w:rPr>
        <w:t xml:space="preserve">2.1.2 Perte de la personnalité morale </w:t>
      </w:r>
    </w:p>
    <w:p w14:paraId="37E5A190" w14:textId="77777777" w:rsidR="009B7F30" w:rsidRDefault="002E2BE8">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Etant un sujet de droit, les personnes morales peuvent être amenées à disparaitre comme toutes les personnes physiques. Ce qui entraine la perte de sa personnalité juridique. La dissolution de la société en tant que personnalité morale peut être de plein droit ou provoqué</w:t>
      </w:r>
      <w:r w:rsidR="00E95ABF" w:rsidRPr="004A6E37">
        <w:rPr>
          <w:rFonts w:ascii="Times New Roman" w:hAnsi="Times New Roman" w:cs="Times New Roman"/>
          <w:sz w:val="24"/>
          <w:szCs w:val="24"/>
        </w:rPr>
        <w:t>e</w:t>
      </w:r>
      <w:r w:rsidRPr="004A6E37">
        <w:rPr>
          <w:rFonts w:ascii="Times New Roman" w:hAnsi="Times New Roman" w:cs="Times New Roman"/>
          <w:sz w:val="24"/>
          <w:szCs w:val="24"/>
        </w:rPr>
        <w:t>.</w:t>
      </w:r>
    </w:p>
    <w:p w14:paraId="7F73F3D7" w14:textId="77777777" w:rsidR="00382CFA" w:rsidRDefault="00382CFA">
      <w:pPr>
        <w:spacing w:after="0" w:line="360" w:lineRule="auto"/>
        <w:jc w:val="both"/>
        <w:rPr>
          <w:rFonts w:ascii="Times New Roman" w:hAnsi="Times New Roman" w:cs="Times New Roman"/>
          <w:sz w:val="24"/>
          <w:szCs w:val="24"/>
        </w:rPr>
      </w:pPr>
    </w:p>
    <w:p w14:paraId="1E5E79D7" w14:textId="77777777" w:rsidR="00382CFA" w:rsidRPr="004A6E37" w:rsidRDefault="00382CFA">
      <w:pPr>
        <w:spacing w:after="0" w:line="360" w:lineRule="auto"/>
        <w:jc w:val="both"/>
        <w:rPr>
          <w:rFonts w:ascii="Times New Roman" w:hAnsi="Times New Roman" w:cs="Times New Roman"/>
          <w:sz w:val="24"/>
          <w:szCs w:val="24"/>
        </w:rPr>
      </w:pPr>
    </w:p>
    <w:p w14:paraId="2974F4F7" w14:textId="77777777" w:rsidR="009B7F30" w:rsidRPr="004A6E37" w:rsidRDefault="002E2BE8" w:rsidP="0075262F">
      <w:pPr>
        <w:pStyle w:val="Titre3"/>
        <w:numPr>
          <w:ilvl w:val="0"/>
          <w:numId w:val="0"/>
        </w:numPr>
        <w:ind w:left="720" w:hanging="720"/>
        <w:rPr>
          <w:sz w:val="24"/>
          <w:szCs w:val="24"/>
        </w:rPr>
      </w:pPr>
      <w:bookmarkStart w:id="21" w:name="_Toc126251867"/>
      <w:r w:rsidRPr="004A6E37">
        <w:rPr>
          <w:sz w:val="24"/>
          <w:szCs w:val="24"/>
        </w:rPr>
        <w:lastRenderedPageBreak/>
        <w:t>2.2. Mécanisme de création des constructions juridiques</w:t>
      </w:r>
      <w:bookmarkEnd w:id="21"/>
    </w:p>
    <w:p w14:paraId="06E662A1" w14:textId="77777777" w:rsidR="009B7F30" w:rsidRPr="004A6E37" w:rsidRDefault="0015709F" w:rsidP="00B86CE4">
      <w:pPr>
        <w:spacing w:after="0" w:line="360" w:lineRule="auto"/>
        <w:ind w:left="708"/>
        <w:jc w:val="both"/>
        <w:rPr>
          <w:rFonts w:ascii="Times New Roman" w:hAnsi="Times New Roman" w:cs="Times New Roman"/>
          <w:b/>
          <w:sz w:val="24"/>
          <w:szCs w:val="24"/>
        </w:rPr>
      </w:pPr>
      <w:r w:rsidRPr="004A6E37">
        <w:rPr>
          <w:rFonts w:ascii="Times New Roman" w:hAnsi="Times New Roman" w:cs="Times New Roman"/>
          <w:b/>
          <w:sz w:val="24"/>
          <w:szCs w:val="24"/>
        </w:rPr>
        <w:t>2.2.1</w:t>
      </w:r>
      <w:r w:rsidR="004D0E5F" w:rsidRPr="004A6E37">
        <w:rPr>
          <w:rFonts w:ascii="Times New Roman" w:hAnsi="Times New Roman" w:cs="Times New Roman"/>
          <w:b/>
          <w:sz w:val="24"/>
          <w:szCs w:val="24"/>
        </w:rPr>
        <w:t>.</w:t>
      </w:r>
      <w:r w:rsidRPr="004A6E37">
        <w:rPr>
          <w:rFonts w:ascii="Times New Roman" w:hAnsi="Times New Roman" w:cs="Times New Roman"/>
          <w:b/>
          <w:sz w:val="24"/>
          <w:szCs w:val="24"/>
        </w:rPr>
        <w:t xml:space="preserve"> C</w:t>
      </w:r>
      <w:r w:rsidR="002E2BE8" w:rsidRPr="004A6E37">
        <w:rPr>
          <w:rFonts w:ascii="Times New Roman" w:hAnsi="Times New Roman" w:cs="Times New Roman"/>
          <w:b/>
          <w:sz w:val="24"/>
          <w:szCs w:val="24"/>
        </w:rPr>
        <w:t>réation et établissement</w:t>
      </w:r>
      <w:r w:rsidR="00FB7B0B" w:rsidRPr="004A6E37">
        <w:rPr>
          <w:rFonts w:ascii="Times New Roman" w:hAnsi="Times New Roman" w:cs="Times New Roman"/>
          <w:b/>
          <w:sz w:val="24"/>
          <w:szCs w:val="24"/>
        </w:rPr>
        <w:t xml:space="preserve"> de la construction juridique</w:t>
      </w:r>
    </w:p>
    <w:p w14:paraId="4F62651F" w14:textId="77777777" w:rsidR="005D3E1D" w:rsidRPr="004A6E37" w:rsidRDefault="0037010E">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conditions de création </w:t>
      </w:r>
      <w:r w:rsidR="00A26B77" w:rsidRPr="004A6E37">
        <w:rPr>
          <w:rFonts w:ascii="Times New Roman" w:hAnsi="Times New Roman" w:cs="Times New Roman"/>
          <w:sz w:val="24"/>
          <w:szCs w:val="24"/>
        </w:rPr>
        <w:t>d’</w:t>
      </w:r>
      <w:r w:rsidRPr="004A6E37">
        <w:rPr>
          <w:rFonts w:ascii="Times New Roman" w:hAnsi="Times New Roman" w:cs="Times New Roman"/>
          <w:sz w:val="24"/>
          <w:szCs w:val="24"/>
        </w:rPr>
        <w:t xml:space="preserve">une fiducie ou </w:t>
      </w:r>
      <w:r w:rsidR="00A8048C" w:rsidRPr="004A6E37">
        <w:rPr>
          <w:rFonts w:ascii="Times New Roman" w:hAnsi="Times New Roman" w:cs="Times New Roman"/>
          <w:sz w:val="24"/>
          <w:szCs w:val="24"/>
        </w:rPr>
        <w:t>d’</w:t>
      </w:r>
      <w:r w:rsidRPr="004A6E37">
        <w:rPr>
          <w:rFonts w:ascii="Times New Roman" w:hAnsi="Times New Roman" w:cs="Times New Roman"/>
          <w:sz w:val="24"/>
          <w:szCs w:val="24"/>
        </w:rPr>
        <w:t>une construction juridique similaire</w:t>
      </w:r>
      <w:r w:rsidR="005D3E1D" w:rsidRPr="004A6E37">
        <w:rPr>
          <w:rFonts w:ascii="Times New Roman" w:hAnsi="Times New Roman" w:cs="Times New Roman"/>
          <w:sz w:val="24"/>
          <w:szCs w:val="24"/>
        </w:rPr>
        <w:t xml:space="preserve"> </w:t>
      </w:r>
      <w:r w:rsidR="00CE1DD8" w:rsidRPr="004A6E37">
        <w:rPr>
          <w:rFonts w:ascii="Times New Roman" w:hAnsi="Times New Roman" w:cs="Times New Roman"/>
          <w:sz w:val="24"/>
          <w:szCs w:val="24"/>
        </w:rPr>
        <w:t>ne fon</w:t>
      </w:r>
      <w:r w:rsidR="0023434A" w:rsidRPr="004A6E37">
        <w:rPr>
          <w:rFonts w:ascii="Times New Roman" w:hAnsi="Times New Roman" w:cs="Times New Roman"/>
          <w:sz w:val="24"/>
          <w:szCs w:val="24"/>
        </w:rPr>
        <w:t xml:space="preserve">t </w:t>
      </w:r>
      <w:r w:rsidRPr="004A6E37">
        <w:rPr>
          <w:rFonts w:ascii="Times New Roman" w:hAnsi="Times New Roman" w:cs="Times New Roman"/>
          <w:sz w:val="24"/>
          <w:szCs w:val="24"/>
        </w:rPr>
        <w:t>pas l’objet de précision en droit malien</w:t>
      </w:r>
      <w:r w:rsidR="004022C8" w:rsidRPr="004A6E37">
        <w:rPr>
          <w:rFonts w:ascii="Times New Roman" w:hAnsi="Times New Roman" w:cs="Times New Roman"/>
          <w:sz w:val="24"/>
          <w:szCs w:val="24"/>
        </w:rPr>
        <w:t> ;</w:t>
      </w:r>
      <w:r w:rsidR="005D3E1D" w:rsidRPr="004A6E37">
        <w:rPr>
          <w:rFonts w:ascii="Times New Roman" w:hAnsi="Times New Roman" w:cs="Times New Roman"/>
          <w:sz w:val="24"/>
          <w:szCs w:val="24"/>
        </w:rPr>
        <w:t xml:space="preserve"> toutefois ce</w:t>
      </w:r>
      <w:r w:rsidR="00D434B0" w:rsidRPr="004A6E37">
        <w:rPr>
          <w:rFonts w:ascii="Times New Roman" w:hAnsi="Times New Roman" w:cs="Times New Roman"/>
          <w:sz w:val="24"/>
          <w:szCs w:val="24"/>
        </w:rPr>
        <w:t>t</w:t>
      </w:r>
      <w:r w:rsidR="005D3E1D" w:rsidRPr="004A6E37">
        <w:rPr>
          <w:rFonts w:ascii="Times New Roman" w:hAnsi="Times New Roman" w:cs="Times New Roman"/>
          <w:sz w:val="24"/>
          <w:szCs w:val="24"/>
        </w:rPr>
        <w:t xml:space="preserve"> aspect est pris en charge par </w:t>
      </w:r>
      <w:r w:rsidR="003D562B" w:rsidRPr="004A6E37">
        <w:rPr>
          <w:rFonts w:ascii="Times New Roman" w:hAnsi="Times New Roman" w:cs="Times New Roman"/>
          <w:sz w:val="24"/>
          <w:szCs w:val="24"/>
        </w:rPr>
        <w:t>l’</w:t>
      </w:r>
      <w:r w:rsidR="005D3E1D" w:rsidRPr="004A6E37">
        <w:rPr>
          <w:rFonts w:ascii="Times New Roman" w:hAnsi="Times New Roman" w:cs="Times New Roman"/>
          <w:sz w:val="24"/>
          <w:szCs w:val="24"/>
        </w:rPr>
        <w:t>Acte uniforme révisé relatif au droit des sociétés commerciales et du regroupement d’intérêt économique de</w:t>
      </w:r>
      <w:r w:rsidR="006A2512" w:rsidRPr="004A6E37">
        <w:rPr>
          <w:rFonts w:ascii="Times New Roman" w:hAnsi="Times New Roman" w:cs="Times New Roman"/>
          <w:sz w:val="24"/>
          <w:szCs w:val="24"/>
        </w:rPr>
        <w:t xml:space="preserve"> l’Acte Uniforme de</w:t>
      </w:r>
      <w:r w:rsidR="005D3E1D" w:rsidRPr="004A6E37">
        <w:rPr>
          <w:rFonts w:ascii="Times New Roman" w:hAnsi="Times New Roman" w:cs="Times New Roman"/>
          <w:sz w:val="24"/>
          <w:szCs w:val="24"/>
        </w:rPr>
        <w:t xml:space="preserve"> l’Organisation pour l’Harmonisation en Afrique du Droit de</w:t>
      </w:r>
      <w:r w:rsidR="004022C8" w:rsidRPr="004A6E37">
        <w:rPr>
          <w:rFonts w:ascii="Times New Roman" w:hAnsi="Times New Roman" w:cs="Times New Roman"/>
          <w:sz w:val="24"/>
          <w:szCs w:val="24"/>
        </w:rPr>
        <w:t xml:space="preserve">s Affaires (OHADA) adopté le 30 janvier </w:t>
      </w:r>
      <w:r w:rsidR="005D3E1D" w:rsidRPr="004A6E37">
        <w:rPr>
          <w:rFonts w:ascii="Times New Roman" w:hAnsi="Times New Roman" w:cs="Times New Roman"/>
          <w:sz w:val="24"/>
          <w:szCs w:val="24"/>
        </w:rPr>
        <w:t>2014.</w:t>
      </w:r>
    </w:p>
    <w:p w14:paraId="0CCE3DAB" w14:textId="77777777" w:rsidR="009B7F30" w:rsidRPr="004A6E37" w:rsidRDefault="0079125C" w:rsidP="00B86CE4">
      <w:pPr>
        <w:spacing w:line="360" w:lineRule="auto"/>
        <w:ind w:left="708"/>
        <w:jc w:val="both"/>
        <w:rPr>
          <w:rFonts w:ascii="Times New Roman" w:hAnsi="Times New Roman" w:cs="Times New Roman"/>
          <w:b/>
          <w:sz w:val="24"/>
          <w:szCs w:val="24"/>
        </w:rPr>
      </w:pPr>
      <w:r w:rsidRPr="004A6E37">
        <w:rPr>
          <w:rFonts w:ascii="Times New Roman" w:hAnsi="Times New Roman" w:cs="Times New Roman"/>
          <w:b/>
          <w:sz w:val="24"/>
          <w:szCs w:val="24"/>
        </w:rPr>
        <w:t>2.2.2. D</w:t>
      </w:r>
      <w:r w:rsidR="002E2BE8" w:rsidRPr="004A6E37">
        <w:rPr>
          <w:rFonts w:ascii="Times New Roman" w:hAnsi="Times New Roman" w:cs="Times New Roman"/>
          <w:b/>
          <w:sz w:val="24"/>
          <w:szCs w:val="24"/>
        </w:rPr>
        <w:t>isparition de la construction juridique</w:t>
      </w:r>
    </w:p>
    <w:p w14:paraId="5F206FB5"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conditions de la fin du lien juridique établissant une fiducie ou une construction juridique similaire ne font pas l’objet de précision en droit malien.</w:t>
      </w:r>
    </w:p>
    <w:p w14:paraId="7A6A617F" w14:textId="77777777" w:rsidR="005408C2" w:rsidRPr="004A6E37" w:rsidRDefault="005408C2" w:rsidP="00A726AB">
      <w:pPr>
        <w:rPr>
          <w:rFonts w:ascii="Times New Roman" w:hAnsi="Times New Roman" w:cs="Times New Roman"/>
          <w:sz w:val="4"/>
          <w:szCs w:val="24"/>
        </w:rPr>
      </w:pPr>
    </w:p>
    <w:p w14:paraId="5E2B30CF" w14:textId="77777777" w:rsidR="009B7F30" w:rsidRPr="004A6E37" w:rsidRDefault="00392744" w:rsidP="0075262F">
      <w:pPr>
        <w:pStyle w:val="Titre2"/>
        <w:numPr>
          <w:ilvl w:val="0"/>
          <w:numId w:val="0"/>
        </w:numPr>
        <w:rPr>
          <w:rFonts w:ascii="Times New Roman" w:hAnsi="Times New Roman" w:cs="Times New Roman"/>
          <w:b/>
          <w:color w:val="auto"/>
          <w:sz w:val="24"/>
          <w:szCs w:val="24"/>
        </w:rPr>
      </w:pPr>
      <w:bookmarkStart w:id="22" w:name="_Toc126251868"/>
      <w:r w:rsidRPr="004A6E37">
        <w:rPr>
          <w:rFonts w:ascii="Times New Roman" w:hAnsi="Times New Roman" w:cs="Times New Roman"/>
          <w:b/>
          <w:color w:val="auto"/>
          <w:sz w:val="24"/>
          <w:szCs w:val="24"/>
        </w:rPr>
        <w:t>III</w:t>
      </w:r>
      <w:r w:rsidR="00FD4C3C" w:rsidRPr="004A6E37">
        <w:rPr>
          <w:rFonts w:ascii="Times New Roman" w:hAnsi="Times New Roman" w:cs="Times New Roman"/>
          <w:b/>
          <w:color w:val="auto"/>
          <w:sz w:val="24"/>
          <w:szCs w:val="24"/>
        </w:rPr>
        <w:t>. IDENTIFICATION DES PERSONNES MORALES ET AUTRES CONSTRUCTIONS JURIDIQUES.</w:t>
      </w:r>
      <w:bookmarkEnd w:id="22"/>
      <w:r w:rsidR="00FD4C3C" w:rsidRPr="004A6E37">
        <w:rPr>
          <w:rFonts w:ascii="Times New Roman" w:hAnsi="Times New Roman" w:cs="Times New Roman"/>
          <w:b/>
          <w:color w:val="auto"/>
          <w:sz w:val="24"/>
          <w:szCs w:val="24"/>
        </w:rPr>
        <w:t xml:space="preserve"> </w:t>
      </w:r>
    </w:p>
    <w:p w14:paraId="39FC4FCA" w14:textId="77777777" w:rsidR="00EB39A4" w:rsidRPr="004A6E37" w:rsidRDefault="002E2BE8" w:rsidP="0075262F">
      <w:pPr>
        <w:pStyle w:val="Titre3"/>
        <w:numPr>
          <w:ilvl w:val="0"/>
          <w:numId w:val="0"/>
        </w:numPr>
        <w:ind w:left="720" w:hanging="720"/>
        <w:rPr>
          <w:sz w:val="24"/>
          <w:szCs w:val="24"/>
        </w:rPr>
      </w:pPr>
      <w:bookmarkStart w:id="23" w:name="_Toc126251869"/>
      <w:r w:rsidRPr="004A6E37">
        <w:rPr>
          <w:sz w:val="24"/>
          <w:szCs w:val="24"/>
        </w:rPr>
        <w:t>3.1. Personnes morales</w:t>
      </w:r>
      <w:bookmarkEnd w:id="23"/>
    </w:p>
    <w:p w14:paraId="1F8DC304" w14:textId="77777777" w:rsidR="003E6943" w:rsidRPr="004A6E37" w:rsidRDefault="003E6943" w:rsidP="003E6943">
      <w:pPr>
        <w:rPr>
          <w:rFonts w:ascii="Times New Roman" w:hAnsi="Times New Roman" w:cs="Times New Roman"/>
          <w:sz w:val="24"/>
          <w:szCs w:val="24"/>
        </w:rPr>
      </w:pPr>
      <w:r w:rsidRPr="004A6E37">
        <w:rPr>
          <w:rFonts w:ascii="Times New Roman" w:hAnsi="Times New Roman" w:cs="Times New Roman"/>
          <w:sz w:val="24"/>
          <w:szCs w:val="24"/>
        </w:rPr>
        <w:t>On distingue :</w:t>
      </w:r>
    </w:p>
    <w:p w14:paraId="1C7F20A2" w14:textId="77777777" w:rsidR="003E6943" w:rsidRPr="004A6E37" w:rsidRDefault="003E6943" w:rsidP="00920BFE">
      <w:pPr>
        <w:pStyle w:val="Paragraphedeliste"/>
        <w:numPr>
          <w:ilvl w:val="0"/>
          <w:numId w:val="15"/>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personnes morales de droit public : l’Etat, les collectivités territoriales, les établissements publics ;</w:t>
      </w:r>
    </w:p>
    <w:p w14:paraId="5413B8D2" w14:textId="77777777" w:rsidR="003E6943" w:rsidRPr="004A6E37" w:rsidRDefault="003E6943" w:rsidP="00920BFE">
      <w:pPr>
        <w:pStyle w:val="Paragraphedeliste"/>
        <w:numPr>
          <w:ilvl w:val="0"/>
          <w:numId w:val="15"/>
        </w:numPr>
        <w:spacing w:line="360" w:lineRule="auto"/>
        <w:jc w:val="both"/>
        <w:rPr>
          <w:rFonts w:ascii="Times New Roman" w:hAnsi="Times New Roman" w:cs="Times New Roman"/>
          <w:b/>
          <w:sz w:val="24"/>
          <w:szCs w:val="24"/>
        </w:rPr>
      </w:pPr>
      <w:r w:rsidRPr="004A6E37">
        <w:rPr>
          <w:rFonts w:ascii="Times New Roman" w:hAnsi="Times New Roman" w:cs="Times New Roman"/>
          <w:sz w:val="24"/>
          <w:szCs w:val="24"/>
        </w:rPr>
        <w:t>les personnes morales de droit privé</w:t>
      </w:r>
      <w:r w:rsidRPr="004A6E37">
        <w:rPr>
          <w:rFonts w:ascii="Times New Roman" w:hAnsi="Times New Roman" w:cs="Times New Roman"/>
          <w:b/>
          <w:sz w:val="24"/>
          <w:szCs w:val="24"/>
        </w:rPr>
        <w:t xml:space="preserve"> : </w:t>
      </w:r>
      <w:r w:rsidRPr="004A6E37">
        <w:rPr>
          <w:rFonts w:ascii="Times New Roman" w:hAnsi="Times New Roman" w:cs="Times New Roman"/>
          <w:sz w:val="24"/>
          <w:szCs w:val="24"/>
        </w:rPr>
        <w:t>Société privée, société civile, les g</w:t>
      </w:r>
      <w:r w:rsidR="0000179B" w:rsidRPr="004A6E37">
        <w:rPr>
          <w:rFonts w:ascii="Times New Roman" w:hAnsi="Times New Roman" w:cs="Times New Roman"/>
          <w:sz w:val="24"/>
          <w:szCs w:val="24"/>
        </w:rPr>
        <w:t xml:space="preserve">roupements d’intérêt économique </w:t>
      </w:r>
      <w:r w:rsidRPr="004A6E37">
        <w:rPr>
          <w:rFonts w:ascii="Times New Roman" w:hAnsi="Times New Roman" w:cs="Times New Roman"/>
          <w:sz w:val="24"/>
          <w:szCs w:val="24"/>
        </w:rPr>
        <w:t>(GIE) et les associations.</w:t>
      </w:r>
    </w:p>
    <w:p w14:paraId="13A6458E" w14:textId="77777777" w:rsidR="005E7168" w:rsidRPr="004A6E37" w:rsidRDefault="003E6943" w:rsidP="005274D0">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personnes morales de droit pu</w:t>
      </w:r>
      <w:r w:rsidR="00A30A81" w:rsidRPr="004A6E37">
        <w:rPr>
          <w:rFonts w:ascii="Times New Roman" w:hAnsi="Times New Roman" w:cs="Times New Roman"/>
          <w:sz w:val="24"/>
          <w:szCs w:val="24"/>
        </w:rPr>
        <w:t>blic sont régies par les l</w:t>
      </w:r>
      <w:r w:rsidR="00C176FF" w:rsidRPr="004A6E37">
        <w:rPr>
          <w:rFonts w:ascii="Times New Roman" w:hAnsi="Times New Roman" w:cs="Times New Roman"/>
          <w:sz w:val="24"/>
          <w:szCs w:val="24"/>
        </w:rPr>
        <w:t>ois</w:t>
      </w:r>
      <w:r w:rsidR="008743AD" w:rsidRPr="004A6E37">
        <w:rPr>
          <w:rFonts w:ascii="Times New Roman" w:hAnsi="Times New Roman" w:cs="Times New Roman"/>
          <w:sz w:val="24"/>
          <w:szCs w:val="24"/>
        </w:rPr>
        <w:t xml:space="preserve"> et décrets portant création, organisation et fonctionnement des organismes étatiques</w:t>
      </w:r>
      <w:r w:rsidR="00C176FF" w:rsidRPr="004A6E37">
        <w:rPr>
          <w:rFonts w:ascii="Times New Roman" w:hAnsi="Times New Roman" w:cs="Times New Roman"/>
          <w:sz w:val="24"/>
          <w:szCs w:val="24"/>
        </w:rPr>
        <w:t>.</w:t>
      </w:r>
      <w:r w:rsidR="005274D0" w:rsidRPr="004A6E37">
        <w:rPr>
          <w:rFonts w:ascii="Times New Roman" w:hAnsi="Times New Roman" w:cs="Times New Roman"/>
          <w:sz w:val="24"/>
          <w:szCs w:val="24"/>
        </w:rPr>
        <w:t xml:space="preserve"> </w:t>
      </w:r>
    </w:p>
    <w:p w14:paraId="6CC71653" w14:textId="77777777" w:rsidR="005E7168" w:rsidRPr="004A6E37" w:rsidRDefault="002E2BE8" w:rsidP="005274D0">
      <w:pPr>
        <w:spacing w:line="360" w:lineRule="auto"/>
        <w:jc w:val="both"/>
        <w:rPr>
          <w:rFonts w:ascii="Times New Roman" w:hAnsi="Times New Roman" w:cs="Times New Roman"/>
          <w:sz w:val="24"/>
        </w:rPr>
      </w:pPr>
      <w:r w:rsidRPr="004A6E37">
        <w:rPr>
          <w:rFonts w:ascii="Times New Roman" w:hAnsi="Times New Roman" w:cs="Times New Roman"/>
          <w:sz w:val="24"/>
        </w:rPr>
        <w:t>Au Mali, les personnes morales</w:t>
      </w:r>
      <w:r w:rsidR="007E328D" w:rsidRPr="004A6E37">
        <w:rPr>
          <w:rFonts w:ascii="Times New Roman" w:hAnsi="Times New Roman" w:cs="Times New Roman"/>
          <w:sz w:val="24"/>
        </w:rPr>
        <w:t xml:space="preserve"> de droit privé</w:t>
      </w:r>
      <w:r w:rsidRPr="004A6E37">
        <w:rPr>
          <w:rFonts w:ascii="Times New Roman" w:hAnsi="Times New Roman" w:cs="Times New Roman"/>
          <w:sz w:val="24"/>
        </w:rPr>
        <w:t xml:space="preserve"> sont régies </w:t>
      </w:r>
      <w:r w:rsidR="006A2512" w:rsidRPr="004A6E37">
        <w:rPr>
          <w:rFonts w:ascii="Times New Roman" w:hAnsi="Times New Roman" w:cs="Times New Roman"/>
          <w:sz w:val="24"/>
        </w:rPr>
        <w:t>par l’</w:t>
      </w:r>
      <w:r w:rsidRPr="004A6E37">
        <w:rPr>
          <w:rFonts w:ascii="Times New Roman" w:hAnsi="Times New Roman" w:cs="Times New Roman"/>
          <w:sz w:val="24"/>
        </w:rPr>
        <w:t>Acte Uniforme de l’OHADA. En tant que telles, elles sont soumises à des obligations générales visant à les protéger contre tout abus à des fins de BC</w:t>
      </w:r>
      <w:r w:rsidR="00AE0A46" w:rsidRPr="004A6E37">
        <w:rPr>
          <w:rFonts w:ascii="Times New Roman" w:hAnsi="Times New Roman" w:cs="Times New Roman"/>
          <w:sz w:val="24"/>
        </w:rPr>
        <w:t>/FT</w:t>
      </w:r>
      <w:r w:rsidRPr="004A6E37">
        <w:rPr>
          <w:rFonts w:ascii="Times New Roman" w:hAnsi="Times New Roman" w:cs="Times New Roman"/>
          <w:sz w:val="24"/>
        </w:rPr>
        <w:t xml:space="preserve">. </w:t>
      </w:r>
      <w:r w:rsidR="005E7168" w:rsidRPr="004A6E37">
        <w:rPr>
          <w:rFonts w:ascii="Times New Roman" w:hAnsi="Times New Roman" w:cs="Times New Roman"/>
          <w:sz w:val="24"/>
        </w:rPr>
        <w:t>C</w:t>
      </w:r>
      <w:r w:rsidR="005E7168" w:rsidRPr="004A6E37">
        <w:rPr>
          <w:rFonts w:ascii="Times New Roman" w:hAnsi="Times New Roman" w:cs="Times New Roman"/>
          <w:sz w:val="24"/>
          <w:szCs w:val="24"/>
        </w:rPr>
        <w:t>es personnes morales de droit privé constituent le point d’ancrage de notre étude.</w:t>
      </w:r>
    </w:p>
    <w:p w14:paraId="2CB061C5" w14:textId="77777777" w:rsidR="009B7F30" w:rsidRPr="004A6E37" w:rsidRDefault="002E2BE8" w:rsidP="005274D0">
      <w:pPr>
        <w:spacing w:line="360" w:lineRule="auto"/>
        <w:jc w:val="both"/>
        <w:rPr>
          <w:rFonts w:ascii="Times New Roman" w:hAnsi="Times New Roman" w:cs="Times New Roman"/>
          <w:sz w:val="24"/>
        </w:rPr>
      </w:pPr>
      <w:r w:rsidRPr="004A6E37">
        <w:rPr>
          <w:rFonts w:ascii="Times New Roman" w:hAnsi="Times New Roman" w:cs="Times New Roman"/>
          <w:sz w:val="24"/>
        </w:rPr>
        <w:t>La notion de personne morale de droit privé est entendue en droit positif malien comme tout groupement d’individus</w:t>
      </w:r>
      <w:r w:rsidR="00C96BC3" w:rsidRPr="004A6E37">
        <w:rPr>
          <w:rFonts w:ascii="Times New Roman" w:hAnsi="Times New Roman" w:cs="Times New Roman"/>
          <w:sz w:val="24"/>
        </w:rPr>
        <w:t xml:space="preserve"> réunis dans un intérêt commun. </w:t>
      </w:r>
      <w:r w:rsidRPr="004A6E37">
        <w:rPr>
          <w:rFonts w:ascii="Times New Roman" w:hAnsi="Times New Roman" w:cs="Times New Roman"/>
          <w:sz w:val="24"/>
        </w:rPr>
        <w:t>Ces personnes morales peuvent poursuivre un but lucrati</w:t>
      </w:r>
      <w:r w:rsidR="00993660" w:rsidRPr="004A6E37">
        <w:rPr>
          <w:rFonts w:ascii="Times New Roman" w:hAnsi="Times New Roman" w:cs="Times New Roman"/>
          <w:sz w:val="24"/>
        </w:rPr>
        <w:t>f (</w:t>
      </w:r>
      <w:r w:rsidRPr="004A6E37">
        <w:rPr>
          <w:rFonts w:ascii="Times New Roman" w:hAnsi="Times New Roman" w:cs="Times New Roman"/>
          <w:sz w:val="24"/>
        </w:rPr>
        <w:t>les sociétés</w:t>
      </w:r>
      <w:r w:rsidR="00993660" w:rsidRPr="004A6E37">
        <w:rPr>
          <w:rFonts w:ascii="Times New Roman" w:hAnsi="Times New Roman" w:cs="Times New Roman"/>
          <w:sz w:val="24"/>
        </w:rPr>
        <w:t>) ou non lucratif (</w:t>
      </w:r>
      <w:r w:rsidRPr="004A6E37">
        <w:rPr>
          <w:rFonts w:ascii="Times New Roman" w:hAnsi="Times New Roman" w:cs="Times New Roman"/>
          <w:sz w:val="24"/>
        </w:rPr>
        <w:t>organismes à but non lucratif</w:t>
      </w:r>
      <w:r w:rsidR="00993660" w:rsidRPr="004A6E37">
        <w:rPr>
          <w:rFonts w:ascii="Times New Roman" w:hAnsi="Times New Roman" w:cs="Times New Roman"/>
          <w:sz w:val="24"/>
        </w:rPr>
        <w:t>)</w:t>
      </w:r>
      <w:r w:rsidRPr="004A6E37">
        <w:rPr>
          <w:rFonts w:ascii="Times New Roman" w:hAnsi="Times New Roman" w:cs="Times New Roman"/>
          <w:sz w:val="24"/>
        </w:rPr>
        <w:t xml:space="preserve">. </w:t>
      </w:r>
      <w:r w:rsidRPr="004A6E37">
        <w:rPr>
          <w:rFonts w:ascii="Times New Roman" w:hAnsi="Times New Roman" w:cs="Times New Roman"/>
          <w:sz w:val="24"/>
        </w:rPr>
        <w:br/>
        <w:t>Une </w:t>
      </w:r>
      <w:r w:rsidRPr="004A6E37">
        <w:rPr>
          <w:rFonts w:ascii="Times New Roman" w:hAnsi="Times New Roman" w:cs="Times New Roman"/>
          <w:bCs/>
          <w:sz w:val="24"/>
        </w:rPr>
        <w:t>personne morale</w:t>
      </w:r>
      <w:r w:rsidRPr="004A6E37">
        <w:rPr>
          <w:rFonts w:ascii="Times New Roman" w:hAnsi="Times New Roman" w:cs="Times New Roman"/>
          <w:sz w:val="24"/>
        </w:rPr>
        <w:t> est un </w:t>
      </w:r>
      <w:r w:rsidRPr="004A6E37">
        <w:rPr>
          <w:rFonts w:ascii="Times New Roman" w:hAnsi="Times New Roman" w:cs="Times New Roman"/>
          <w:bCs/>
          <w:sz w:val="24"/>
        </w:rPr>
        <w:t>groupement d’individus réunis dans un intérêt commun.</w:t>
      </w:r>
      <w:r w:rsidRPr="004A6E37">
        <w:rPr>
          <w:rFonts w:ascii="Times New Roman" w:hAnsi="Times New Roman" w:cs="Times New Roman"/>
          <w:sz w:val="24"/>
        </w:rPr>
        <w:t xml:space="preserve">   </w:t>
      </w:r>
      <w:r w:rsidRPr="004A6E37">
        <w:rPr>
          <w:rFonts w:ascii="Times New Roman" w:hAnsi="Times New Roman" w:cs="Times New Roman"/>
          <w:sz w:val="24"/>
        </w:rPr>
        <w:br/>
        <w:t>Au sujet des personnes morales, la doctrine distingue quatre types :</w:t>
      </w:r>
    </w:p>
    <w:p w14:paraId="05A38089" w14:textId="77777777" w:rsidR="009B7F30" w:rsidRPr="004A6E37" w:rsidRDefault="00AD76F4" w:rsidP="00920BFE">
      <w:pPr>
        <w:numPr>
          <w:ilvl w:val="0"/>
          <w:numId w:val="5"/>
        </w:numPr>
        <w:spacing w:line="360" w:lineRule="auto"/>
        <w:contextualSpacing/>
        <w:jc w:val="both"/>
        <w:rPr>
          <w:rFonts w:ascii="Times New Roman" w:hAnsi="Times New Roman" w:cs="Times New Roman"/>
          <w:sz w:val="24"/>
          <w:szCs w:val="24"/>
        </w:rPr>
      </w:pPr>
      <w:r w:rsidRPr="004A6E37">
        <w:rPr>
          <w:rFonts w:ascii="Times New Roman" w:hAnsi="Times New Roman" w:cs="Times New Roman"/>
          <w:sz w:val="24"/>
          <w:szCs w:val="24"/>
        </w:rPr>
        <w:t>d</w:t>
      </w:r>
      <w:r w:rsidR="002E2BE8" w:rsidRPr="004A6E37">
        <w:rPr>
          <w:rFonts w:ascii="Times New Roman" w:hAnsi="Times New Roman" w:cs="Times New Roman"/>
          <w:sz w:val="24"/>
          <w:szCs w:val="24"/>
        </w:rPr>
        <w:t>istinction personnes morales de droit public et personnes morales de droit privé</w:t>
      </w:r>
      <w:r w:rsidR="00122E9E" w:rsidRPr="004A6E37">
        <w:rPr>
          <w:rFonts w:ascii="Times New Roman" w:hAnsi="Times New Roman" w:cs="Times New Roman"/>
          <w:sz w:val="24"/>
          <w:szCs w:val="24"/>
        </w:rPr>
        <w:t> ;</w:t>
      </w:r>
    </w:p>
    <w:p w14:paraId="6C86C38F" w14:textId="77777777" w:rsidR="009B7F30" w:rsidRPr="004A6E37" w:rsidRDefault="00AD76F4" w:rsidP="00920BFE">
      <w:pPr>
        <w:numPr>
          <w:ilvl w:val="0"/>
          <w:numId w:val="5"/>
        </w:numPr>
        <w:spacing w:line="360" w:lineRule="auto"/>
        <w:contextualSpacing/>
        <w:jc w:val="both"/>
        <w:rPr>
          <w:rFonts w:ascii="Times New Roman" w:hAnsi="Times New Roman" w:cs="Times New Roman"/>
          <w:sz w:val="24"/>
          <w:szCs w:val="24"/>
        </w:rPr>
      </w:pPr>
      <w:r w:rsidRPr="004A6E37">
        <w:rPr>
          <w:rFonts w:ascii="Times New Roman" w:hAnsi="Times New Roman" w:cs="Times New Roman"/>
          <w:sz w:val="24"/>
          <w:szCs w:val="24"/>
        </w:rPr>
        <w:lastRenderedPageBreak/>
        <w:t>d</w:t>
      </w:r>
      <w:r w:rsidR="002E2BE8" w:rsidRPr="004A6E37">
        <w:rPr>
          <w:rFonts w:ascii="Times New Roman" w:hAnsi="Times New Roman" w:cs="Times New Roman"/>
          <w:sz w:val="24"/>
          <w:szCs w:val="24"/>
        </w:rPr>
        <w:t>istinction organisations évoluant dans le secteur formel et celles évoluant dans le secteur informel ;</w:t>
      </w:r>
    </w:p>
    <w:p w14:paraId="09094335" w14:textId="77777777" w:rsidR="009B7F30" w:rsidRPr="004A6E37" w:rsidRDefault="00AD76F4" w:rsidP="00920BFE">
      <w:pPr>
        <w:numPr>
          <w:ilvl w:val="0"/>
          <w:numId w:val="5"/>
        </w:numPr>
        <w:spacing w:line="360" w:lineRule="auto"/>
        <w:contextualSpacing/>
        <w:jc w:val="both"/>
        <w:rPr>
          <w:rFonts w:ascii="Times New Roman" w:hAnsi="Times New Roman" w:cs="Times New Roman"/>
          <w:sz w:val="24"/>
          <w:szCs w:val="24"/>
        </w:rPr>
      </w:pPr>
      <w:r w:rsidRPr="004A6E37">
        <w:rPr>
          <w:rFonts w:ascii="Times New Roman" w:hAnsi="Times New Roman" w:cs="Times New Roman"/>
          <w:sz w:val="24"/>
          <w:szCs w:val="24"/>
        </w:rPr>
        <w:t>d</w:t>
      </w:r>
      <w:r w:rsidR="002E2BE8" w:rsidRPr="004A6E37">
        <w:rPr>
          <w:rFonts w:ascii="Times New Roman" w:hAnsi="Times New Roman" w:cs="Times New Roman"/>
          <w:sz w:val="24"/>
          <w:szCs w:val="24"/>
        </w:rPr>
        <w:t>istinction sociétés dotées de personnalité morale et celles qui sont dépourvues de personnalité</w:t>
      </w:r>
      <w:r w:rsidR="00122E9E" w:rsidRPr="004A6E37">
        <w:rPr>
          <w:rFonts w:ascii="Times New Roman" w:hAnsi="Times New Roman" w:cs="Times New Roman"/>
          <w:sz w:val="24"/>
          <w:szCs w:val="24"/>
        </w:rPr>
        <w:t xml:space="preserve"> morale ;</w:t>
      </w:r>
    </w:p>
    <w:p w14:paraId="4363FE47" w14:textId="77777777" w:rsidR="009B7F30" w:rsidRPr="004A6E37" w:rsidRDefault="00AD76F4" w:rsidP="00920BFE">
      <w:pPr>
        <w:numPr>
          <w:ilvl w:val="0"/>
          <w:numId w:val="5"/>
        </w:numPr>
        <w:spacing w:line="360" w:lineRule="auto"/>
        <w:contextualSpacing/>
        <w:jc w:val="both"/>
        <w:rPr>
          <w:rFonts w:ascii="Times New Roman" w:hAnsi="Times New Roman" w:cs="Times New Roman"/>
          <w:sz w:val="24"/>
          <w:szCs w:val="24"/>
        </w:rPr>
      </w:pPr>
      <w:r w:rsidRPr="004A6E37">
        <w:rPr>
          <w:rFonts w:ascii="Times New Roman" w:hAnsi="Times New Roman" w:cs="Times New Roman"/>
          <w:sz w:val="24"/>
          <w:szCs w:val="24"/>
        </w:rPr>
        <w:t>d</w:t>
      </w:r>
      <w:r w:rsidR="002E2BE8" w:rsidRPr="004A6E37">
        <w:rPr>
          <w:rFonts w:ascii="Times New Roman" w:hAnsi="Times New Roman" w:cs="Times New Roman"/>
          <w:sz w:val="24"/>
          <w:szCs w:val="24"/>
        </w:rPr>
        <w:t>istinction organismes à but lucratif et les orga</w:t>
      </w:r>
      <w:r w:rsidR="00122E9E" w:rsidRPr="004A6E37">
        <w:rPr>
          <w:rFonts w:ascii="Times New Roman" w:hAnsi="Times New Roman" w:cs="Times New Roman"/>
          <w:sz w:val="24"/>
          <w:szCs w:val="24"/>
        </w:rPr>
        <w:t>nismes à but non lucratif.</w:t>
      </w:r>
    </w:p>
    <w:p w14:paraId="6E1EC235"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Dans cette étude, il nous a paru judicieux de se limiter à la distinction entre les sociétés à but lucratif et celles n’ayant pas de but lucratif.</w:t>
      </w:r>
    </w:p>
    <w:p w14:paraId="2D0D51FB" w14:textId="77777777" w:rsidR="00947743" w:rsidRPr="004A6E37" w:rsidRDefault="00947743" w:rsidP="00947743">
      <w:pPr>
        <w:spacing w:before="120" w:after="0" w:line="276"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 tableau n°1 ci-dessous indique les catégories et les nombres de personnes morales au Mali, selon la classification de l’Acte Uniforme de l’OHADA. </w:t>
      </w:r>
    </w:p>
    <w:p w14:paraId="730EE538" w14:textId="77777777" w:rsidR="00F6782F" w:rsidRPr="004A6E37" w:rsidRDefault="00300036" w:rsidP="00F6782F">
      <w:pPr>
        <w:spacing w:before="120" w:after="0" w:line="276" w:lineRule="auto"/>
        <w:jc w:val="both"/>
        <w:rPr>
          <w:rFonts w:ascii="Times New Roman" w:hAnsi="Times New Roman" w:cs="Times New Roman"/>
          <w:b/>
          <w:sz w:val="24"/>
          <w:szCs w:val="24"/>
        </w:rPr>
      </w:pPr>
      <w:r w:rsidRPr="004A6E37">
        <w:rPr>
          <w:rFonts w:ascii="Times New Roman" w:hAnsi="Times New Roman" w:cs="Times New Roman"/>
          <w:b/>
          <w:sz w:val="24"/>
          <w:szCs w:val="24"/>
        </w:rPr>
        <w:t xml:space="preserve">      </w:t>
      </w:r>
      <w:r w:rsidR="00F6782F" w:rsidRPr="004A6E37">
        <w:rPr>
          <w:rFonts w:ascii="Times New Roman" w:hAnsi="Times New Roman" w:cs="Times New Roman"/>
          <w:b/>
          <w:sz w:val="24"/>
          <w:szCs w:val="24"/>
        </w:rPr>
        <w:t>Tableau N°1 : Personnes morales (catégorisées selon la loi uniforme de l’OHADA)</w:t>
      </w:r>
    </w:p>
    <w:tbl>
      <w:tblPr>
        <w:tblStyle w:val="Grilledutableau"/>
        <w:tblW w:w="5000" w:type="pct"/>
        <w:tblLook w:val="04A0" w:firstRow="1" w:lastRow="0" w:firstColumn="1" w:lastColumn="0" w:noHBand="0" w:noVBand="1"/>
      </w:tblPr>
      <w:tblGrid>
        <w:gridCol w:w="3921"/>
        <w:gridCol w:w="879"/>
        <w:gridCol w:w="878"/>
        <w:gridCol w:w="880"/>
        <w:gridCol w:w="880"/>
        <w:gridCol w:w="878"/>
        <w:gridCol w:w="1171"/>
      </w:tblGrid>
      <w:tr w:rsidR="00F6782F" w:rsidRPr="000E20CD" w14:paraId="56DB196C" w14:textId="77777777" w:rsidTr="00294246">
        <w:tc>
          <w:tcPr>
            <w:tcW w:w="2066" w:type="pct"/>
            <w:shd w:val="clear" w:color="auto" w:fill="DEEAF6" w:themeFill="accent1" w:themeFillTint="33"/>
          </w:tcPr>
          <w:p w14:paraId="1D7C89C9"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eastAsia="Times New Roman" w:hAnsi="Times New Roman" w:cs="Times New Roman"/>
                <w:b/>
                <w:bCs/>
                <w:sz w:val="24"/>
                <w:szCs w:val="24"/>
                <w:lang w:eastAsia="fr-CA"/>
              </w:rPr>
              <w:t>Nombre de Forme Juridique</w:t>
            </w:r>
          </w:p>
        </w:tc>
        <w:tc>
          <w:tcPr>
            <w:tcW w:w="463" w:type="pct"/>
            <w:shd w:val="clear" w:color="auto" w:fill="DEEAF6" w:themeFill="accent1" w:themeFillTint="33"/>
          </w:tcPr>
          <w:p w14:paraId="4DBEA1FC"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hAnsi="Times New Roman" w:cs="Times New Roman"/>
                <w:b/>
                <w:sz w:val="24"/>
                <w:szCs w:val="24"/>
              </w:rPr>
              <w:t>2018</w:t>
            </w:r>
          </w:p>
        </w:tc>
        <w:tc>
          <w:tcPr>
            <w:tcW w:w="463" w:type="pct"/>
            <w:shd w:val="clear" w:color="auto" w:fill="DEEAF6" w:themeFill="accent1" w:themeFillTint="33"/>
          </w:tcPr>
          <w:p w14:paraId="255922B4"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hAnsi="Times New Roman" w:cs="Times New Roman"/>
                <w:b/>
                <w:sz w:val="24"/>
                <w:szCs w:val="24"/>
              </w:rPr>
              <w:t>2019</w:t>
            </w:r>
          </w:p>
        </w:tc>
        <w:tc>
          <w:tcPr>
            <w:tcW w:w="464" w:type="pct"/>
            <w:shd w:val="clear" w:color="auto" w:fill="DEEAF6" w:themeFill="accent1" w:themeFillTint="33"/>
          </w:tcPr>
          <w:p w14:paraId="67952B48"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hAnsi="Times New Roman" w:cs="Times New Roman"/>
                <w:b/>
                <w:sz w:val="24"/>
                <w:szCs w:val="24"/>
              </w:rPr>
              <w:t>2020</w:t>
            </w:r>
          </w:p>
        </w:tc>
        <w:tc>
          <w:tcPr>
            <w:tcW w:w="464" w:type="pct"/>
            <w:shd w:val="clear" w:color="auto" w:fill="DEEAF6" w:themeFill="accent1" w:themeFillTint="33"/>
          </w:tcPr>
          <w:p w14:paraId="60AA4577"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hAnsi="Times New Roman" w:cs="Times New Roman"/>
                <w:b/>
                <w:sz w:val="24"/>
                <w:szCs w:val="24"/>
              </w:rPr>
              <w:t>2021</w:t>
            </w:r>
          </w:p>
        </w:tc>
        <w:tc>
          <w:tcPr>
            <w:tcW w:w="463" w:type="pct"/>
            <w:shd w:val="clear" w:color="auto" w:fill="DEEAF6" w:themeFill="accent1" w:themeFillTint="33"/>
          </w:tcPr>
          <w:p w14:paraId="7F37DE0A"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hAnsi="Times New Roman" w:cs="Times New Roman"/>
                <w:b/>
                <w:sz w:val="24"/>
                <w:szCs w:val="24"/>
              </w:rPr>
              <w:t>2022</w:t>
            </w:r>
          </w:p>
        </w:tc>
        <w:tc>
          <w:tcPr>
            <w:tcW w:w="618" w:type="pct"/>
            <w:shd w:val="clear" w:color="auto" w:fill="DEEAF6" w:themeFill="accent1" w:themeFillTint="33"/>
          </w:tcPr>
          <w:p w14:paraId="1D4E107C" w14:textId="77777777" w:rsidR="00F6782F" w:rsidRPr="000E20CD" w:rsidRDefault="00F6782F" w:rsidP="009E4DCF">
            <w:pPr>
              <w:spacing w:before="120" w:after="0" w:line="276" w:lineRule="auto"/>
              <w:jc w:val="both"/>
              <w:rPr>
                <w:rFonts w:ascii="Times New Roman" w:hAnsi="Times New Roman" w:cs="Times New Roman"/>
                <w:b/>
                <w:sz w:val="24"/>
                <w:szCs w:val="24"/>
              </w:rPr>
            </w:pPr>
            <w:r w:rsidRPr="000E20CD">
              <w:rPr>
                <w:rFonts w:ascii="Times New Roman" w:hAnsi="Times New Roman" w:cs="Times New Roman"/>
                <w:b/>
                <w:sz w:val="24"/>
                <w:szCs w:val="24"/>
              </w:rPr>
              <w:t>TOTAL</w:t>
            </w:r>
          </w:p>
        </w:tc>
      </w:tr>
      <w:tr w:rsidR="000E20CD" w:rsidRPr="000E20CD" w14:paraId="4F770645" w14:textId="77777777" w:rsidTr="00294246">
        <w:tc>
          <w:tcPr>
            <w:tcW w:w="2066" w:type="pct"/>
          </w:tcPr>
          <w:p w14:paraId="2E6B1CCD" w14:textId="77777777" w:rsidR="00F6782F" w:rsidRPr="000E20CD" w:rsidRDefault="00F6782F" w:rsidP="009E4DCF">
            <w:pPr>
              <w:spacing w:before="120" w:after="0" w:line="276" w:lineRule="auto"/>
              <w:jc w:val="both"/>
              <w:rPr>
                <w:rFonts w:ascii="Times New Roman" w:hAnsi="Times New Roman" w:cs="Times New Roman"/>
                <w:sz w:val="24"/>
                <w:szCs w:val="24"/>
              </w:rPr>
            </w:pPr>
            <w:r w:rsidRPr="000E20CD">
              <w:rPr>
                <w:rFonts w:ascii="Times New Roman" w:eastAsia="Times New Roman" w:hAnsi="Times New Roman" w:cs="Times New Roman"/>
                <w:sz w:val="24"/>
                <w:szCs w:val="24"/>
                <w:lang w:eastAsia="fr-CA"/>
              </w:rPr>
              <w:t>Commerce général / import-export</w:t>
            </w:r>
          </w:p>
        </w:tc>
        <w:tc>
          <w:tcPr>
            <w:tcW w:w="463" w:type="pct"/>
            <w:vAlign w:val="bottom"/>
          </w:tcPr>
          <w:p w14:paraId="5E3CB2C5"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36</w:t>
            </w:r>
          </w:p>
        </w:tc>
        <w:tc>
          <w:tcPr>
            <w:tcW w:w="463" w:type="pct"/>
            <w:vAlign w:val="bottom"/>
          </w:tcPr>
          <w:p w14:paraId="59A328A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4" w:type="pct"/>
            <w:vAlign w:val="bottom"/>
          </w:tcPr>
          <w:p w14:paraId="635B568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0</w:t>
            </w:r>
          </w:p>
        </w:tc>
        <w:tc>
          <w:tcPr>
            <w:tcW w:w="464" w:type="pct"/>
            <w:vAlign w:val="bottom"/>
          </w:tcPr>
          <w:p w14:paraId="421333F0"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3" w:type="pct"/>
            <w:vAlign w:val="bottom"/>
          </w:tcPr>
          <w:p w14:paraId="75BC4F2F"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0</w:t>
            </w:r>
          </w:p>
        </w:tc>
        <w:tc>
          <w:tcPr>
            <w:tcW w:w="618" w:type="pct"/>
            <w:vAlign w:val="bottom"/>
          </w:tcPr>
          <w:p w14:paraId="5436A57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38</w:t>
            </w:r>
          </w:p>
        </w:tc>
      </w:tr>
      <w:tr w:rsidR="000E20CD" w:rsidRPr="000E20CD" w14:paraId="21EF03FC" w14:textId="77777777" w:rsidTr="00294246">
        <w:tc>
          <w:tcPr>
            <w:tcW w:w="2066" w:type="pct"/>
          </w:tcPr>
          <w:p w14:paraId="243873D0" w14:textId="77777777" w:rsidR="00F6782F" w:rsidRPr="000E20CD" w:rsidRDefault="00F6782F" w:rsidP="009E4DCF">
            <w:pPr>
              <w:spacing w:before="120" w:after="0" w:line="276" w:lineRule="auto"/>
              <w:jc w:val="both"/>
              <w:rPr>
                <w:rFonts w:ascii="Times New Roman" w:hAnsi="Times New Roman" w:cs="Times New Roman"/>
                <w:sz w:val="24"/>
                <w:szCs w:val="24"/>
              </w:rPr>
            </w:pPr>
            <w:r w:rsidRPr="000E20CD">
              <w:rPr>
                <w:rFonts w:ascii="Times New Roman" w:eastAsia="Times New Roman" w:hAnsi="Times New Roman" w:cs="Times New Roman"/>
                <w:sz w:val="24"/>
                <w:szCs w:val="24"/>
                <w:lang w:eastAsia="fr-CA"/>
              </w:rPr>
              <w:t>Société en commandite simple (</w:t>
            </w:r>
            <w:proofErr w:type="spellStart"/>
            <w:r w:rsidRPr="000E20CD">
              <w:rPr>
                <w:rFonts w:ascii="Times New Roman" w:eastAsia="Times New Roman" w:hAnsi="Times New Roman" w:cs="Times New Roman"/>
                <w:sz w:val="24"/>
                <w:szCs w:val="24"/>
                <w:lang w:eastAsia="fr-CA"/>
              </w:rPr>
              <w:t>scs</w:t>
            </w:r>
            <w:proofErr w:type="spellEnd"/>
            <w:r w:rsidRPr="000E20CD">
              <w:rPr>
                <w:rFonts w:ascii="Times New Roman" w:eastAsia="Times New Roman" w:hAnsi="Times New Roman" w:cs="Times New Roman"/>
                <w:sz w:val="24"/>
                <w:szCs w:val="24"/>
                <w:lang w:eastAsia="fr-CA"/>
              </w:rPr>
              <w:t>)</w:t>
            </w:r>
          </w:p>
        </w:tc>
        <w:tc>
          <w:tcPr>
            <w:tcW w:w="463" w:type="pct"/>
            <w:vAlign w:val="bottom"/>
          </w:tcPr>
          <w:p w14:paraId="24BFB7E0"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w:t>
            </w:r>
          </w:p>
        </w:tc>
        <w:tc>
          <w:tcPr>
            <w:tcW w:w="463" w:type="pct"/>
            <w:vAlign w:val="bottom"/>
          </w:tcPr>
          <w:p w14:paraId="69FDC08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46CFBEB4"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2AD3DA0E"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3" w:type="pct"/>
            <w:vAlign w:val="bottom"/>
          </w:tcPr>
          <w:p w14:paraId="1C611CAF"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618" w:type="pct"/>
            <w:vAlign w:val="bottom"/>
          </w:tcPr>
          <w:p w14:paraId="549637FF"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w:t>
            </w:r>
          </w:p>
        </w:tc>
      </w:tr>
      <w:tr w:rsidR="000E20CD" w:rsidRPr="000E20CD" w14:paraId="3630285E" w14:textId="77777777" w:rsidTr="00294246">
        <w:tc>
          <w:tcPr>
            <w:tcW w:w="2066" w:type="pct"/>
            <w:vAlign w:val="bottom"/>
          </w:tcPr>
          <w:p w14:paraId="6978A5EC"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Société par actions simplifiées</w:t>
            </w:r>
          </w:p>
        </w:tc>
        <w:tc>
          <w:tcPr>
            <w:tcW w:w="463" w:type="pct"/>
            <w:vAlign w:val="bottom"/>
          </w:tcPr>
          <w:p w14:paraId="54824498"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58</w:t>
            </w:r>
          </w:p>
        </w:tc>
        <w:tc>
          <w:tcPr>
            <w:tcW w:w="463" w:type="pct"/>
            <w:vAlign w:val="bottom"/>
          </w:tcPr>
          <w:p w14:paraId="248E70B5"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95</w:t>
            </w:r>
          </w:p>
        </w:tc>
        <w:tc>
          <w:tcPr>
            <w:tcW w:w="464" w:type="pct"/>
            <w:vAlign w:val="bottom"/>
          </w:tcPr>
          <w:p w14:paraId="0786A26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74</w:t>
            </w:r>
          </w:p>
        </w:tc>
        <w:tc>
          <w:tcPr>
            <w:tcW w:w="464" w:type="pct"/>
            <w:vAlign w:val="bottom"/>
          </w:tcPr>
          <w:p w14:paraId="53110A4E"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115</w:t>
            </w:r>
          </w:p>
        </w:tc>
        <w:tc>
          <w:tcPr>
            <w:tcW w:w="463" w:type="pct"/>
            <w:vAlign w:val="bottom"/>
          </w:tcPr>
          <w:p w14:paraId="4FC537B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96</w:t>
            </w:r>
          </w:p>
        </w:tc>
        <w:tc>
          <w:tcPr>
            <w:tcW w:w="618" w:type="pct"/>
            <w:vAlign w:val="bottom"/>
          </w:tcPr>
          <w:p w14:paraId="5BF7381A"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438</w:t>
            </w:r>
          </w:p>
        </w:tc>
      </w:tr>
      <w:tr w:rsidR="000E20CD" w:rsidRPr="000E20CD" w14:paraId="0072EE3A" w14:textId="77777777" w:rsidTr="00294246">
        <w:tc>
          <w:tcPr>
            <w:tcW w:w="2066" w:type="pct"/>
            <w:vAlign w:val="bottom"/>
          </w:tcPr>
          <w:p w14:paraId="70897FB4"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SNC</w:t>
            </w:r>
          </w:p>
        </w:tc>
        <w:tc>
          <w:tcPr>
            <w:tcW w:w="463" w:type="pct"/>
            <w:vAlign w:val="bottom"/>
          </w:tcPr>
          <w:p w14:paraId="65F50942"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3" w:type="pct"/>
            <w:vAlign w:val="bottom"/>
          </w:tcPr>
          <w:p w14:paraId="0471265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03D8604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1EF3202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3" w:type="pct"/>
            <w:vAlign w:val="bottom"/>
          </w:tcPr>
          <w:p w14:paraId="702511CA"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618" w:type="pct"/>
            <w:vAlign w:val="bottom"/>
          </w:tcPr>
          <w:p w14:paraId="5928773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r>
      <w:tr w:rsidR="000E20CD" w:rsidRPr="000E20CD" w14:paraId="11286049" w14:textId="77777777" w:rsidTr="00294246">
        <w:tc>
          <w:tcPr>
            <w:tcW w:w="2066" w:type="pct"/>
            <w:vAlign w:val="bottom"/>
          </w:tcPr>
          <w:p w14:paraId="5429C7BD"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Prestations de services</w:t>
            </w:r>
          </w:p>
        </w:tc>
        <w:tc>
          <w:tcPr>
            <w:tcW w:w="463" w:type="pct"/>
            <w:vAlign w:val="bottom"/>
          </w:tcPr>
          <w:p w14:paraId="61E07EFE"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24</w:t>
            </w:r>
          </w:p>
        </w:tc>
        <w:tc>
          <w:tcPr>
            <w:tcW w:w="463" w:type="pct"/>
            <w:vAlign w:val="bottom"/>
          </w:tcPr>
          <w:p w14:paraId="7C74B9B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250509A8"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4D502EC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3" w:type="pct"/>
            <w:vAlign w:val="bottom"/>
          </w:tcPr>
          <w:p w14:paraId="18202DD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618" w:type="pct"/>
            <w:vAlign w:val="bottom"/>
          </w:tcPr>
          <w:p w14:paraId="258C446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25</w:t>
            </w:r>
          </w:p>
        </w:tc>
      </w:tr>
      <w:tr w:rsidR="000E20CD" w:rsidRPr="000E20CD" w14:paraId="7837287A" w14:textId="77777777" w:rsidTr="00294246">
        <w:tc>
          <w:tcPr>
            <w:tcW w:w="2066" w:type="pct"/>
            <w:vAlign w:val="bottom"/>
          </w:tcPr>
          <w:p w14:paraId="55028D96"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Entreprises individuelles</w:t>
            </w:r>
          </w:p>
        </w:tc>
        <w:tc>
          <w:tcPr>
            <w:tcW w:w="463" w:type="pct"/>
            <w:vAlign w:val="bottom"/>
          </w:tcPr>
          <w:p w14:paraId="5DFE8EC1"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8 140</w:t>
            </w:r>
          </w:p>
        </w:tc>
        <w:tc>
          <w:tcPr>
            <w:tcW w:w="463" w:type="pct"/>
            <w:vAlign w:val="bottom"/>
          </w:tcPr>
          <w:p w14:paraId="09B7651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14 153</w:t>
            </w:r>
          </w:p>
        </w:tc>
        <w:tc>
          <w:tcPr>
            <w:tcW w:w="464" w:type="pct"/>
            <w:vAlign w:val="bottom"/>
          </w:tcPr>
          <w:p w14:paraId="5BAE218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11 492</w:t>
            </w:r>
          </w:p>
        </w:tc>
        <w:tc>
          <w:tcPr>
            <w:tcW w:w="464" w:type="pct"/>
            <w:vAlign w:val="bottom"/>
          </w:tcPr>
          <w:p w14:paraId="42495A1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12 036</w:t>
            </w:r>
          </w:p>
        </w:tc>
        <w:tc>
          <w:tcPr>
            <w:tcW w:w="463" w:type="pct"/>
            <w:vAlign w:val="bottom"/>
          </w:tcPr>
          <w:p w14:paraId="1312E01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9 969</w:t>
            </w:r>
          </w:p>
        </w:tc>
        <w:tc>
          <w:tcPr>
            <w:tcW w:w="618" w:type="pct"/>
            <w:vAlign w:val="bottom"/>
          </w:tcPr>
          <w:p w14:paraId="562C2FE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55 790</w:t>
            </w:r>
          </w:p>
        </w:tc>
      </w:tr>
      <w:tr w:rsidR="000E20CD" w:rsidRPr="000E20CD" w14:paraId="603647EC" w14:textId="77777777" w:rsidTr="00294246">
        <w:tc>
          <w:tcPr>
            <w:tcW w:w="2066" w:type="pct"/>
            <w:shd w:val="clear" w:color="auto" w:fill="F7CAAC" w:themeFill="accent2" w:themeFillTint="66"/>
            <w:vAlign w:val="bottom"/>
          </w:tcPr>
          <w:p w14:paraId="7718D5EA" w14:textId="77777777" w:rsidR="00F6782F" w:rsidRPr="000E20CD" w:rsidRDefault="00F6782F" w:rsidP="009E4DCF">
            <w:pPr>
              <w:spacing w:before="120" w:after="0" w:line="276" w:lineRule="auto"/>
              <w:jc w:val="both"/>
              <w:rPr>
                <w:rFonts w:ascii="Times New Roman" w:eastAsia="Times New Roman" w:hAnsi="Times New Roman" w:cs="Times New Roman"/>
                <w:bCs/>
                <w:sz w:val="24"/>
                <w:szCs w:val="24"/>
                <w:lang w:eastAsia="fr-CA"/>
              </w:rPr>
            </w:pPr>
            <w:r w:rsidRPr="000E20CD">
              <w:rPr>
                <w:rFonts w:ascii="Times New Roman" w:eastAsia="Times New Roman" w:hAnsi="Times New Roman" w:cs="Times New Roman"/>
                <w:bCs/>
                <w:sz w:val="24"/>
                <w:szCs w:val="24"/>
                <w:lang w:eastAsia="fr-CA"/>
              </w:rPr>
              <w:t xml:space="preserve">SOUS TOTAL COMMERCIALE-ASSIMILEES </w:t>
            </w:r>
          </w:p>
        </w:tc>
        <w:tc>
          <w:tcPr>
            <w:tcW w:w="463" w:type="pct"/>
            <w:shd w:val="clear" w:color="auto" w:fill="F7CAAC" w:themeFill="accent2" w:themeFillTint="66"/>
            <w:vAlign w:val="bottom"/>
          </w:tcPr>
          <w:p w14:paraId="0ED36D1E"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8 261</w:t>
            </w:r>
          </w:p>
        </w:tc>
        <w:tc>
          <w:tcPr>
            <w:tcW w:w="463" w:type="pct"/>
            <w:shd w:val="clear" w:color="auto" w:fill="F7CAAC" w:themeFill="accent2" w:themeFillTint="66"/>
            <w:vAlign w:val="bottom"/>
          </w:tcPr>
          <w:p w14:paraId="600DDC28"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14 249</w:t>
            </w:r>
          </w:p>
        </w:tc>
        <w:tc>
          <w:tcPr>
            <w:tcW w:w="464" w:type="pct"/>
            <w:shd w:val="clear" w:color="auto" w:fill="F7CAAC" w:themeFill="accent2" w:themeFillTint="66"/>
            <w:vAlign w:val="bottom"/>
          </w:tcPr>
          <w:p w14:paraId="0EC3D695"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11 566</w:t>
            </w:r>
          </w:p>
        </w:tc>
        <w:tc>
          <w:tcPr>
            <w:tcW w:w="464" w:type="pct"/>
            <w:shd w:val="clear" w:color="auto" w:fill="F7CAAC" w:themeFill="accent2" w:themeFillTint="66"/>
            <w:vAlign w:val="bottom"/>
          </w:tcPr>
          <w:p w14:paraId="0A0BC2C3"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12 154</w:t>
            </w:r>
          </w:p>
        </w:tc>
        <w:tc>
          <w:tcPr>
            <w:tcW w:w="463" w:type="pct"/>
            <w:shd w:val="clear" w:color="auto" w:fill="F7CAAC" w:themeFill="accent2" w:themeFillTint="66"/>
            <w:vAlign w:val="bottom"/>
          </w:tcPr>
          <w:p w14:paraId="003B61E6"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10 065</w:t>
            </w:r>
          </w:p>
        </w:tc>
        <w:tc>
          <w:tcPr>
            <w:tcW w:w="618" w:type="pct"/>
            <w:shd w:val="clear" w:color="auto" w:fill="F7CAAC" w:themeFill="accent2" w:themeFillTint="66"/>
            <w:vAlign w:val="bottom"/>
          </w:tcPr>
          <w:p w14:paraId="01276ABB"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56 295</w:t>
            </w:r>
          </w:p>
        </w:tc>
      </w:tr>
      <w:tr w:rsidR="000E20CD" w:rsidRPr="000E20CD" w14:paraId="30504E36" w14:textId="77777777" w:rsidTr="00294246">
        <w:tc>
          <w:tcPr>
            <w:tcW w:w="2066" w:type="pct"/>
            <w:vAlign w:val="bottom"/>
          </w:tcPr>
          <w:p w14:paraId="1D721598"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Sociétés Anonymes, filiales et Succursales</w:t>
            </w:r>
          </w:p>
        </w:tc>
        <w:tc>
          <w:tcPr>
            <w:tcW w:w="463" w:type="pct"/>
            <w:vAlign w:val="bottom"/>
          </w:tcPr>
          <w:p w14:paraId="3CB333BF"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101</w:t>
            </w:r>
          </w:p>
        </w:tc>
        <w:tc>
          <w:tcPr>
            <w:tcW w:w="463" w:type="pct"/>
            <w:vAlign w:val="bottom"/>
          </w:tcPr>
          <w:p w14:paraId="41D503D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101</w:t>
            </w:r>
          </w:p>
        </w:tc>
        <w:tc>
          <w:tcPr>
            <w:tcW w:w="464" w:type="pct"/>
            <w:vAlign w:val="bottom"/>
          </w:tcPr>
          <w:p w14:paraId="24007C8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81</w:t>
            </w:r>
          </w:p>
        </w:tc>
        <w:tc>
          <w:tcPr>
            <w:tcW w:w="464" w:type="pct"/>
            <w:vAlign w:val="bottom"/>
          </w:tcPr>
          <w:p w14:paraId="41B6672A"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135</w:t>
            </w:r>
          </w:p>
        </w:tc>
        <w:tc>
          <w:tcPr>
            <w:tcW w:w="463" w:type="pct"/>
            <w:vAlign w:val="bottom"/>
          </w:tcPr>
          <w:p w14:paraId="0DA09678"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89</w:t>
            </w:r>
          </w:p>
        </w:tc>
        <w:tc>
          <w:tcPr>
            <w:tcW w:w="618" w:type="pct"/>
            <w:vAlign w:val="bottom"/>
          </w:tcPr>
          <w:p w14:paraId="64B935C2"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507</w:t>
            </w:r>
          </w:p>
        </w:tc>
      </w:tr>
      <w:tr w:rsidR="000E20CD" w:rsidRPr="000E20CD" w14:paraId="54CE64DA" w14:textId="77777777" w:rsidTr="00294246">
        <w:tc>
          <w:tcPr>
            <w:tcW w:w="2066" w:type="pct"/>
            <w:vAlign w:val="bottom"/>
          </w:tcPr>
          <w:p w14:paraId="13D53554"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Sociétés Anonymes unipersonnelle (SAU)</w:t>
            </w:r>
          </w:p>
        </w:tc>
        <w:tc>
          <w:tcPr>
            <w:tcW w:w="463" w:type="pct"/>
            <w:vAlign w:val="bottom"/>
          </w:tcPr>
          <w:p w14:paraId="756B8478"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3" w:type="pct"/>
            <w:vAlign w:val="bottom"/>
          </w:tcPr>
          <w:p w14:paraId="38C5EF3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1C7637E5"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7E4B00CA"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3" w:type="pct"/>
            <w:vAlign w:val="bottom"/>
          </w:tcPr>
          <w:p w14:paraId="1E6A32D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618" w:type="pct"/>
            <w:vAlign w:val="bottom"/>
          </w:tcPr>
          <w:p w14:paraId="6B2DBD91"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w:t>
            </w:r>
          </w:p>
        </w:tc>
      </w:tr>
      <w:tr w:rsidR="000E20CD" w:rsidRPr="000E20CD" w14:paraId="1D0E184D" w14:textId="77777777" w:rsidTr="00294246">
        <w:tc>
          <w:tcPr>
            <w:tcW w:w="2066" w:type="pct"/>
            <w:vAlign w:val="bottom"/>
          </w:tcPr>
          <w:p w14:paraId="0CFFDEBB"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SAS/ SASU</w:t>
            </w:r>
          </w:p>
        </w:tc>
        <w:tc>
          <w:tcPr>
            <w:tcW w:w="463" w:type="pct"/>
            <w:vAlign w:val="bottom"/>
          </w:tcPr>
          <w:p w14:paraId="4F10761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3" w:type="pct"/>
            <w:vAlign w:val="bottom"/>
          </w:tcPr>
          <w:p w14:paraId="459009A1"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4" w:type="pct"/>
            <w:vAlign w:val="bottom"/>
          </w:tcPr>
          <w:p w14:paraId="41CE5030"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22</w:t>
            </w:r>
          </w:p>
        </w:tc>
        <w:tc>
          <w:tcPr>
            <w:tcW w:w="464" w:type="pct"/>
            <w:vAlign w:val="bottom"/>
          </w:tcPr>
          <w:p w14:paraId="22E70E1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19</w:t>
            </w:r>
          </w:p>
        </w:tc>
        <w:tc>
          <w:tcPr>
            <w:tcW w:w="463" w:type="pct"/>
            <w:vAlign w:val="bottom"/>
          </w:tcPr>
          <w:p w14:paraId="15145B3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48</w:t>
            </w:r>
          </w:p>
        </w:tc>
        <w:tc>
          <w:tcPr>
            <w:tcW w:w="618" w:type="pct"/>
            <w:vAlign w:val="bottom"/>
          </w:tcPr>
          <w:p w14:paraId="48FC95D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90</w:t>
            </w:r>
          </w:p>
        </w:tc>
      </w:tr>
      <w:tr w:rsidR="000E20CD" w:rsidRPr="000E20CD" w14:paraId="17841BAB" w14:textId="77777777" w:rsidTr="00294246">
        <w:tc>
          <w:tcPr>
            <w:tcW w:w="2066" w:type="pct"/>
            <w:shd w:val="clear" w:color="auto" w:fill="F7CAAC" w:themeFill="accent2" w:themeFillTint="66"/>
            <w:vAlign w:val="bottom"/>
          </w:tcPr>
          <w:p w14:paraId="40C713B8" w14:textId="77777777" w:rsidR="00F6782F" w:rsidRPr="000E20CD" w:rsidRDefault="00F6782F" w:rsidP="009E4DCF">
            <w:pPr>
              <w:spacing w:before="120" w:after="0" w:line="276" w:lineRule="auto"/>
              <w:jc w:val="both"/>
              <w:rPr>
                <w:rFonts w:ascii="Times New Roman" w:eastAsia="Times New Roman" w:hAnsi="Times New Roman" w:cs="Times New Roman"/>
                <w:bCs/>
                <w:sz w:val="24"/>
                <w:szCs w:val="24"/>
                <w:lang w:eastAsia="fr-CA"/>
              </w:rPr>
            </w:pPr>
            <w:r w:rsidRPr="000E20CD">
              <w:rPr>
                <w:rFonts w:ascii="Times New Roman" w:eastAsia="Times New Roman" w:hAnsi="Times New Roman" w:cs="Times New Roman"/>
                <w:bCs/>
                <w:sz w:val="24"/>
                <w:szCs w:val="24"/>
                <w:lang w:eastAsia="fr-CA"/>
              </w:rPr>
              <w:t>SOUS TOTAL SA-ASSIMILEES</w:t>
            </w:r>
          </w:p>
        </w:tc>
        <w:tc>
          <w:tcPr>
            <w:tcW w:w="463" w:type="pct"/>
            <w:shd w:val="clear" w:color="auto" w:fill="F7CAAC" w:themeFill="accent2" w:themeFillTint="66"/>
            <w:vAlign w:val="bottom"/>
          </w:tcPr>
          <w:p w14:paraId="304C5A34"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102</w:t>
            </w:r>
          </w:p>
        </w:tc>
        <w:tc>
          <w:tcPr>
            <w:tcW w:w="463" w:type="pct"/>
            <w:shd w:val="clear" w:color="auto" w:fill="F7CAAC" w:themeFill="accent2" w:themeFillTint="66"/>
            <w:vAlign w:val="bottom"/>
          </w:tcPr>
          <w:p w14:paraId="7C2D46FE"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102</w:t>
            </w:r>
          </w:p>
        </w:tc>
        <w:tc>
          <w:tcPr>
            <w:tcW w:w="464" w:type="pct"/>
            <w:shd w:val="clear" w:color="auto" w:fill="F7CAAC" w:themeFill="accent2" w:themeFillTint="66"/>
            <w:vAlign w:val="bottom"/>
          </w:tcPr>
          <w:p w14:paraId="700970C3"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103</w:t>
            </w:r>
          </w:p>
        </w:tc>
        <w:tc>
          <w:tcPr>
            <w:tcW w:w="464" w:type="pct"/>
            <w:shd w:val="clear" w:color="auto" w:fill="F7CAAC" w:themeFill="accent2" w:themeFillTint="66"/>
            <w:vAlign w:val="bottom"/>
          </w:tcPr>
          <w:p w14:paraId="3537D7A9"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155</w:t>
            </w:r>
          </w:p>
        </w:tc>
        <w:tc>
          <w:tcPr>
            <w:tcW w:w="463" w:type="pct"/>
            <w:shd w:val="clear" w:color="auto" w:fill="F7CAAC" w:themeFill="accent2" w:themeFillTint="66"/>
            <w:vAlign w:val="bottom"/>
          </w:tcPr>
          <w:p w14:paraId="3A593ABF"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137</w:t>
            </w:r>
          </w:p>
        </w:tc>
        <w:tc>
          <w:tcPr>
            <w:tcW w:w="618" w:type="pct"/>
            <w:shd w:val="clear" w:color="auto" w:fill="F7CAAC" w:themeFill="accent2" w:themeFillTint="66"/>
            <w:vAlign w:val="bottom"/>
          </w:tcPr>
          <w:p w14:paraId="0C2F8EC0"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599</w:t>
            </w:r>
          </w:p>
        </w:tc>
      </w:tr>
      <w:tr w:rsidR="000E20CD" w:rsidRPr="000E20CD" w14:paraId="42584A57" w14:textId="77777777" w:rsidTr="00294246">
        <w:tc>
          <w:tcPr>
            <w:tcW w:w="2066" w:type="pct"/>
            <w:vAlign w:val="bottom"/>
          </w:tcPr>
          <w:p w14:paraId="42262046"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 xml:space="preserve">SARL, filiales et Succursales </w:t>
            </w:r>
          </w:p>
        </w:tc>
        <w:tc>
          <w:tcPr>
            <w:tcW w:w="463" w:type="pct"/>
            <w:vAlign w:val="bottom"/>
          </w:tcPr>
          <w:p w14:paraId="4BB0FD4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3 063</w:t>
            </w:r>
          </w:p>
        </w:tc>
        <w:tc>
          <w:tcPr>
            <w:tcW w:w="463" w:type="pct"/>
            <w:vAlign w:val="bottom"/>
          </w:tcPr>
          <w:p w14:paraId="5FF0D964"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3 005</w:t>
            </w:r>
          </w:p>
        </w:tc>
        <w:tc>
          <w:tcPr>
            <w:tcW w:w="464" w:type="pct"/>
            <w:vAlign w:val="bottom"/>
          </w:tcPr>
          <w:p w14:paraId="35D0BA4E"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2 734</w:t>
            </w:r>
          </w:p>
        </w:tc>
        <w:tc>
          <w:tcPr>
            <w:tcW w:w="464" w:type="pct"/>
            <w:vAlign w:val="bottom"/>
          </w:tcPr>
          <w:p w14:paraId="2388082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3 814</w:t>
            </w:r>
          </w:p>
        </w:tc>
        <w:tc>
          <w:tcPr>
            <w:tcW w:w="463" w:type="pct"/>
            <w:vAlign w:val="bottom"/>
          </w:tcPr>
          <w:p w14:paraId="34AE3E8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3 291</w:t>
            </w:r>
          </w:p>
        </w:tc>
        <w:tc>
          <w:tcPr>
            <w:tcW w:w="618" w:type="pct"/>
            <w:vAlign w:val="bottom"/>
          </w:tcPr>
          <w:p w14:paraId="1BA2746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15 907</w:t>
            </w:r>
          </w:p>
        </w:tc>
      </w:tr>
      <w:tr w:rsidR="000E20CD" w:rsidRPr="000E20CD" w14:paraId="64B1BD03" w14:textId="77777777" w:rsidTr="00294246">
        <w:tc>
          <w:tcPr>
            <w:tcW w:w="2066" w:type="pct"/>
            <w:vAlign w:val="bottom"/>
          </w:tcPr>
          <w:p w14:paraId="5028CAEA"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Société à responsabilité limite unipersonnelle</w:t>
            </w:r>
          </w:p>
        </w:tc>
        <w:tc>
          <w:tcPr>
            <w:tcW w:w="463" w:type="pct"/>
            <w:vAlign w:val="bottom"/>
          </w:tcPr>
          <w:p w14:paraId="47FD4EA5"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173</w:t>
            </w:r>
          </w:p>
        </w:tc>
        <w:tc>
          <w:tcPr>
            <w:tcW w:w="463" w:type="pct"/>
            <w:vAlign w:val="bottom"/>
          </w:tcPr>
          <w:p w14:paraId="5BBEEF6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178</w:t>
            </w:r>
          </w:p>
        </w:tc>
        <w:tc>
          <w:tcPr>
            <w:tcW w:w="464" w:type="pct"/>
            <w:vAlign w:val="bottom"/>
          </w:tcPr>
          <w:p w14:paraId="46F305A1"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184</w:t>
            </w:r>
          </w:p>
        </w:tc>
        <w:tc>
          <w:tcPr>
            <w:tcW w:w="464" w:type="pct"/>
            <w:vAlign w:val="bottom"/>
          </w:tcPr>
          <w:p w14:paraId="742BC8B4"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267</w:t>
            </w:r>
          </w:p>
        </w:tc>
        <w:tc>
          <w:tcPr>
            <w:tcW w:w="463" w:type="pct"/>
            <w:vAlign w:val="bottom"/>
          </w:tcPr>
          <w:p w14:paraId="4EBF8BB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201</w:t>
            </w:r>
          </w:p>
        </w:tc>
        <w:tc>
          <w:tcPr>
            <w:tcW w:w="618" w:type="pct"/>
            <w:vAlign w:val="bottom"/>
          </w:tcPr>
          <w:p w14:paraId="255FBBB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1 003</w:t>
            </w:r>
          </w:p>
        </w:tc>
      </w:tr>
      <w:tr w:rsidR="000E20CD" w:rsidRPr="000E20CD" w14:paraId="172A20DD" w14:textId="77777777" w:rsidTr="00294246">
        <w:tc>
          <w:tcPr>
            <w:tcW w:w="2066" w:type="pct"/>
            <w:shd w:val="clear" w:color="auto" w:fill="F7CAAC" w:themeFill="accent2" w:themeFillTint="66"/>
            <w:vAlign w:val="bottom"/>
          </w:tcPr>
          <w:p w14:paraId="11AD1241" w14:textId="77777777" w:rsidR="00F6782F" w:rsidRPr="000E20CD" w:rsidRDefault="00F6782F" w:rsidP="009E4DCF">
            <w:pPr>
              <w:spacing w:before="120" w:after="0" w:line="276" w:lineRule="auto"/>
              <w:jc w:val="both"/>
              <w:rPr>
                <w:rFonts w:ascii="Times New Roman" w:eastAsia="Times New Roman" w:hAnsi="Times New Roman" w:cs="Times New Roman"/>
                <w:bCs/>
                <w:sz w:val="24"/>
                <w:szCs w:val="24"/>
                <w:lang w:eastAsia="fr-CA"/>
              </w:rPr>
            </w:pPr>
            <w:r w:rsidRPr="000E20CD">
              <w:rPr>
                <w:rFonts w:ascii="Times New Roman" w:eastAsia="Times New Roman" w:hAnsi="Times New Roman" w:cs="Times New Roman"/>
                <w:bCs/>
                <w:sz w:val="24"/>
                <w:szCs w:val="24"/>
                <w:lang w:eastAsia="fr-CA"/>
              </w:rPr>
              <w:t>SOUS TOTAL SARL-ASSIMILEES</w:t>
            </w:r>
          </w:p>
        </w:tc>
        <w:tc>
          <w:tcPr>
            <w:tcW w:w="463" w:type="pct"/>
            <w:shd w:val="clear" w:color="auto" w:fill="F7CAAC" w:themeFill="accent2" w:themeFillTint="66"/>
            <w:vAlign w:val="bottom"/>
          </w:tcPr>
          <w:p w14:paraId="37A20C40"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3 236</w:t>
            </w:r>
          </w:p>
        </w:tc>
        <w:tc>
          <w:tcPr>
            <w:tcW w:w="463" w:type="pct"/>
            <w:shd w:val="clear" w:color="auto" w:fill="F7CAAC" w:themeFill="accent2" w:themeFillTint="66"/>
            <w:vAlign w:val="bottom"/>
          </w:tcPr>
          <w:p w14:paraId="5EBCB569"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3 183</w:t>
            </w:r>
          </w:p>
        </w:tc>
        <w:tc>
          <w:tcPr>
            <w:tcW w:w="464" w:type="pct"/>
            <w:shd w:val="clear" w:color="auto" w:fill="F7CAAC" w:themeFill="accent2" w:themeFillTint="66"/>
            <w:vAlign w:val="bottom"/>
          </w:tcPr>
          <w:p w14:paraId="088865E6"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2 918</w:t>
            </w:r>
          </w:p>
        </w:tc>
        <w:tc>
          <w:tcPr>
            <w:tcW w:w="464" w:type="pct"/>
            <w:shd w:val="clear" w:color="auto" w:fill="F7CAAC" w:themeFill="accent2" w:themeFillTint="66"/>
            <w:vAlign w:val="bottom"/>
          </w:tcPr>
          <w:p w14:paraId="73B9D97B"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4 081</w:t>
            </w:r>
          </w:p>
        </w:tc>
        <w:tc>
          <w:tcPr>
            <w:tcW w:w="463" w:type="pct"/>
            <w:shd w:val="clear" w:color="auto" w:fill="F7CAAC" w:themeFill="accent2" w:themeFillTint="66"/>
            <w:vAlign w:val="bottom"/>
          </w:tcPr>
          <w:p w14:paraId="3BD934FA"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3 492</w:t>
            </w:r>
          </w:p>
        </w:tc>
        <w:tc>
          <w:tcPr>
            <w:tcW w:w="618" w:type="pct"/>
            <w:shd w:val="clear" w:color="auto" w:fill="F7CAAC" w:themeFill="accent2" w:themeFillTint="66"/>
            <w:vAlign w:val="bottom"/>
          </w:tcPr>
          <w:p w14:paraId="16D226E0"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16 910</w:t>
            </w:r>
          </w:p>
        </w:tc>
      </w:tr>
      <w:tr w:rsidR="000E20CD" w:rsidRPr="000E20CD" w14:paraId="45AF4317" w14:textId="77777777" w:rsidTr="00294246">
        <w:tc>
          <w:tcPr>
            <w:tcW w:w="2066" w:type="pct"/>
            <w:vAlign w:val="bottom"/>
          </w:tcPr>
          <w:p w14:paraId="463B8EAF"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Société civile immobilière</w:t>
            </w:r>
          </w:p>
        </w:tc>
        <w:tc>
          <w:tcPr>
            <w:tcW w:w="463" w:type="pct"/>
            <w:vAlign w:val="bottom"/>
          </w:tcPr>
          <w:p w14:paraId="75DDA59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5</w:t>
            </w:r>
          </w:p>
        </w:tc>
        <w:tc>
          <w:tcPr>
            <w:tcW w:w="463" w:type="pct"/>
            <w:vAlign w:val="bottom"/>
          </w:tcPr>
          <w:p w14:paraId="53267FC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6</w:t>
            </w:r>
          </w:p>
        </w:tc>
        <w:tc>
          <w:tcPr>
            <w:tcW w:w="464" w:type="pct"/>
            <w:vAlign w:val="bottom"/>
          </w:tcPr>
          <w:p w14:paraId="0700BAC1"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7</w:t>
            </w:r>
          </w:p>
        </w:tc>
        <w:tc>
          <w:tcPr>
            <w:tcW w:w="464" w:type="pct"/>
            <w:vAlign w:val="bottom"/>
          </w:tcPr>
          <w:p w14:paraId="4209403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10</w:t>
            </w:r>
          </w:p>
        </w:tc>
        <w:tc>
          <w:tcPr>
            <w:tcW w:w="463" w:type="pct"/>
            <w:vAlign w:val="bottom"/>
          </w:tcPr>
          <w:p w14:paraId="77F0C64E"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7</w:t>
            </w:r>
          </w:p>
        </w:tc>
        <w:tc>
          <w:tcPr>
            <w:tcW w:w="618" w:type="pct"/>
            <w:vAlign w:val="bottom"/>
          </w:tcPr>
          <w:p w14:paraId="6AF4A01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35</w:t>
            </w:r>
          </w:p>
        </w:tc>
      </w:tr>
      <w:tr w:rsidR="000E20CD" w:rsidRPr="000E20CD" w14:paraId="6AA47E25" w14:textId="77777777" w:rsidTr="00294246">
        <w:tc>
          <w:tcPr>
            <w:tcW w:w="2066" w:type="pct"/>
            <w:vAlign w:val="bottom"/>
          </w:tcPr>
          <w:p w14:paraId="6FAD9900"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Société civile professionnelle</w:t>
            </w:r>
          </w:p>
        </w:tc>
        <w:tc>
          <w:tcPr>
            <w:tcW w:w="463" w:type="pct"/>
            <w:vAlign w:val="bottom"/>
          </w:tcPr>
          <w:p w14:paraId="71D3986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2</w:t>
            </w:r>
          </w:p>
        </w:tc>
        <w:tc>
          <w:tcPr>
            <w:tcW w:w="463" w:type="pct"/>
            <w:vAlign w:val="bottom"/>
          </w:tcPr>
          <w:p w14:paraId="5D8B582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w:t>
            </w:r>
          </w:p>
        </w:tc>
        <w:tc>
          <w:tcPr>
            <w:tcW w:w="464" w:type="pct"/>
            <w:vAlign w:val="bottom"/>
          </w:tcPr>
          <w:p w14:paraId="45C19FD1"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4" w:type="pct"/>
            <w:vAlign w:val="bottom"/>
          </w:tcPr>
          <w:p w14:paraId="301CF1F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3" w:type="pct"/>
            <w:vAlign w:val="bottom"/>
          </w:tcPr>
          <w:p w14:paraId="617C4150"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618" w:type="pct"/>
            <w:vAlign w:val="bottom"/>
          </w:tcPr>
          <w:p w14:paraId="76E2820F"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6</w:t>
            </w:r>
          </w:p>
        </w:tc>
      </w:tr>
      <w:tr w:rsidR="000E20CD" w:rsidRPr="000E20CD" w14:paraId="4B0A76FC" w14:textId="77777777" w:rsidTr="00294246">
        <w:tc>
          <w:tcPr>
            <w:tcW w:w="2066" w:type="pct"/>
            <w:vAlign w:val="bottom"/>
          </w:tcPr>
          <w:p w14:paraId="438845A8"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Succursale de  société étrangère</w:t>
            </w:r>
          </w:p>
        </w:tc>
        <w:tc>
          <w:tcPr>
            <w:tcW w:w="463" w:type="pct"/>
            <w:vAlign w:val="bottom"/>
          </w:tcPr>
          <w:p w14:paraId="5DE50D4E"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3" w:type="pct"/>
            <w:vAlign w:val="bottom"/>
          </w:tcPr>
          <w:p w14:paraId="373C49E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4" w:type="pct"/>
            <w:vAlign w:val="bottom"/>
          </w:tcPr>
          <w:p w14:paraId="1EEC9B62"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c>
          <w:tcPr>
            <w:tcW w:w="464" w:type="pct"/>
            <w:vAlign w:val="bottom"/>
          </w:tcPr>
          <w:p w14:paraId="7611BE5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463" w:type="pct"/>
            <w:vAlign w:val="bottom"/>
          </w:tcPr>
          <w:p w14:paraId="21C0E5BB"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tc>
        <w:tc>
          <w:tcPr>
            <w:tcW w:w="618" w:type="pct"/>
            <w:vAlign w:val="bottom"/>
          </w:tcPr>
          <w:p w14:paraId="0039F8C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w:t>
            </w:r>
          </w:p>
        </w:tc>
      </w:tr>
      <w:tr w:rsidR="000E20CD" w:rsidRPr="000E20CD" w14:paraId="1BE2F067" w14:textId="77777777" w:rsidTr="00294246">
        <w:trPr>
          <w:trHeight w:val="390"/>
        </w:trPr>
        <w:tc>
          <w:tcPr>
            <w:tcW w:w="2066" w:type="pct"/>
            <w:vAlign w:val="bottom"/>
          </w:tcPr>
          <w:p w14:paraId="6B838952"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Coopérative</w:t>
            </w:r>
          </w:p>
        </w:tc>
        <w:tc>
          <w:tcPr>
            <w:tcW w:w="463" w:type="pct"/>
            <w:vAlign w:val="bottom"/>
          </w:tcPr>
          <w:p w14:paraId="30380CF8"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p w14:paraId="71565B6F"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7835</w:t>
            </w:r>
          </w:p>
        </w:tc>
        <w:tc>
          <w:tcPr>
            <w:tcW w:w="463" w:type="pct"/>
            <w:vAlign w:val="bottom"/>
          </w:tcPr>
          <w:p w14:paraId="18FEAD42"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p w14:paraId="7D49813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3923</w:t>
            </w:r>
          </w:p>
        </w:tc>
        <w:tc>
          <w:tcPr>
            <w:tcW w:w="464" w:type="pct"/>
            <w:vAlign w:val="bottom"/>
          </w:tcPr>
          <w:p w14:paraId="07EFC6D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p w14:paraId="14AC239D"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3857</w:t>
            </w:r>
          </w:p>
        </w:tc>
        <w:tc>
          <w:tcPr>
            <w:tcW w:w="464" w:type="pct"/>
            <w:vAlign w:val="bottom"/>
          </w:tcPr>
          <w:p w14:paraId="2ADEFB07"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p w14:paraId="47510FD6"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4060</w:t>
            </w:r>
          </w:p>
        </w:tc>
        <w:tc>
          <w:tcPr>
            <w:tcW w:w="463" w:type="pct"/>
            <w:vAlign w:val="bottom"/>
          </w:tcPr>
          <w:p w14:paraId="0BD96BD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p>
          <w:p w14:paraId="2F0B14E9"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1386</w:t>
            </w:r>
          </w:p>
        </w:tc>
        <w:tc>
          <w:tcPr>
            <w:tcW w:w="618" w:type="pct"/>
            <w:vAlign w:val="bottom"/>
          </w:tcPr>
          <w:p w14:paraId="572E0782"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 xml:space="preserve">21 061 </w:t>
            </w:r>
          </w:p>
        </w:tc>
      </w:tr>
      <w:tr w:rsidR="000E20CD" w:rsidRPr="000E20CD" w14:paraId="4F7C43B6" w14:textId="77777777" w:rsidTr="00294246">
        <w:tc>
          <w:tcPr>
            <w:tcW w:w="2066" w:type="pct"/>
            <w:vAlign w:val="bottom"/>
          </w:tcPr>
          <w:p w14:paraId="6C2D61A7" w14:textId="77777777" w:rsidR="00F6782F" w:rsidRPr="000E20CD" w:rsidRDefault="00F6782F" w:rsidP="009E4DCF">
            <w:pPr>
              <w:spacing w:after="0" w:line="240" w:lineRule="auto"/>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Groupement d'intérêt économique (GIE)</w:t>
            </w:r>
          </w:p>
        </w:tc>
        <w:tc>
          <w:tcPr>
            <w:tcW w:w="463" w:type="pct"/>
            <w:vAlign w:val="bottom"/>
          </w:tcPr>
          <w:p w14:paraId="2408336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144</w:t>
            </w:r>
          </w:p>
        </w:tc>
        <w:tc>
          <w:tcPr>
            <w:tcW w:w="463" w:type="pct"/>
            <w:vAlign w:val="bottom"/>
          </w:tcPr>
          <w:p w14:paraId="69A83035"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163</w:t>
            </w:r>
          </w:p>
        </w:tc>
        <w:tc>
          <w:tcPr>
            <w:tcW w:w="464" w:type="pct"/>
            <w:vAlign w:val="bottom"/>
          </w:tcPr>
          <w:p w14:paraId="744E59E3"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156</w:t>
            </w:r>
          </w:p>
        </w:tc>
        <w:tc>
          <w:tcPr>
            <w:tcW w:w="464" w:type="pct"/>
            <w:vAlign w:val="bottom"/>
          </w:tcPr>
          <w:p w14:paraId="7CDB443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139</w:t>
            </w:r>
          </w:p>
        </w:tc>
        <w:tc>
          <w:tcPr>
            <w:tcW w:w="463" w:type="pct"/>
            <w:vAlign w:val="bottom"/>
          </w:tcPr>
          <w:p w14:paraId="02D5ABDC"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116</w:t>
            </w:r>
          </w:p>
        </w:tc>
        <w:tc>
          <w:tcPr>
            <w:tcW w:w="618" w:type="pct"/>
            <w:vAlign w:val="bottom"/>
          </w:tcPr>
          <w:p w14:paraId="5A2EC65A" w14:textId="77777777" w:rsidR="00F6782F" w:rsidRPr="000E20CD" w:rsidRDefault="00F6782F" w:rsidP="009E4DCF">
            <w:pPr>
              <w:spacing w:after="0" w:line="240" w:lineRule="auto"/>
              <w:jc w:val="center"/>
              <w:rPr>
                <w:rFonts w:ascii="Times New Roman" w:eastAsia="Times New Roman" w:hAnsi="Times New Roman" w:cs="Times New Roman"/>
                <w:sz w:val="24"/>
                <w:szCs w:val="24"/>
                <w:lang w:eastAsia="fr-CA"/>
              </w:rPr>
            </w:pPr>
            <w:r w:rsidRPr="000E20CD">
              <w:rPr>
                <w:rFonts w:ascii="Times New Roman" w:eastAsia="Times New Roman" w:hAnsi="Times New Roman" w:cs="Times New Roman"/>
                <w:sz w:val="24"/>
                <w:szCs w:val="24"/>
                <w:lang w:eastAsia="fr-CA"/>
              </w:rPr>
              <w:t>718</w:t>
            </w:r>
          </w:p>
        </w:tc>
      </w:tr>
      <w:tr w:rsidR="000E20CD" w:rsidRPr="000E20CD" w14:paraId="6FDB391B" w14:textId="77777777" w:rsidTr="00294246">
        <w:tc>
          <w:tcPr>
            <w:tcW w:w="2066" w:type="pct"/>
            <w:shd w:val="clear" w:color="auto" w:fill="F7CAAC" w:themeFill="accent2" w:themeFillTint="66"/>
            <w:vAlign w:val="bottom"/>
          </w:tcPr>
          <w:p w14:paraId="6D3E85DD" w14:textId="77777777" w:rsidR="00F6782F" w:rsidRPr="000E20CD" w:rsidRDefault="00F6782F" w:rsidP="009E4DCF">
            <w:pPr>
              <w:spacing w:before="120" w:after="0" w:line="276" w:lineRule="auto"/>
              <w:jc w:val="both"/>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 xml:space="preserve">TOTAL </w:t>
            </w:r>
          </w:p>
        </w:tc>
        <w:tc>
          <w:tcPr>
            <w:tcW w:w="463" w:type="pct"/>
            <w:shd w:val="clear" w:color="auto" w:fill="F7CAAC" w:themeFill="accent2" w:themeFillTint="66"/>
            <w:vAlign w:val="bottom"/>
          </w:tcPr>
          <w:p w14:paraId="12A26CF1"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11 754</w:t>
            </w:r>
          </w:p>
        </w:tc>
        <w:tc>
          <w:tcPr>
            <w:tcW w:w="463" w:type="pct"/>
            <w:shd w:val="clear" w:color="auto" w:fill="F7CAAC" w:themeFill="accent2" w:themeFillTint="66"/>
            <w:vAlign w:val="bottom"/>
          </w:tcPr>
          <w:p w14:paraId="7C3A248D"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17 713</w:t>
            </w:r>
          </w:p>
        </w:tc>
        <w:tc>
          <w:tcPr>
            <w:tcW w:w="464" w:type="pct"/>
            <w:shd w:val="clear" w:color="auto" w:fill="F7CAAC" w:themeFill="accent2" w:themeFillTint="66"/>
            <w:vAlign w:val="bottom"/>
          </w:tcPr>
          <w:p w14:paraId="5D992E9B"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14 761</w:t>
            </w:r>
          </w:p>
        </w:tc>
        <w:tc>
          <w:tcPr>
            <w:tcW w:w="464" w:type="pct"/>
            <w:shd w:val="clear" w:color="auto" w:fill="F7CAAC" w:themeFill="accent2" w:themeFillTint="66"/>
            <w:vAlign w:val="bottom"/>
          </w:tcPr>
          <w:p w14:paraId="589DD409"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16 545</w:t>
            </w:r>
          </w:p>
        </w:tc>
        <w:tc>
          <w:tcPr>
            <w:tcW w:w="463" w:type="pct"/>
            <w:shd w:val="clear" w:color="auto" w:fill="F7CAAC" w:themeFill="accent2" w:themeFillTint="66"/>
            <w:vAlign w:val="bottom"/>
          </w:tcPr>
          <w:p w14:paraId="39DC5468"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13 821</w:t>
            </w:r>
          </w:p>
        </w:tc>
        <w:tc>
          <w:tcPr>
            <w:tcW w:w="618" w:type="pct"/>
            <w:shd w:val="clear" w:color="auto" w:fill="F7CAAC" w:themeFill="accent2" w:themeFillTint="66"/>
            <w:vAlign w:val="bottom"/>
          </w:tcPr>
          <w:p w14:paraId="549EEC47" w14:textId="77777777" w:rsidR="00F6782F" w:rsidRPr="000E20CD" w:rsidRDefault="00F6782F" w:rsidP="009E4DCF">
            <w:pPr>
              <w:spacing w:before="120" w:after="0" w:line="276" w:lineRule="auto"/>
              <w:jc w:val="center"/>
              <w:rPr>
                <w:rFonts w:ascii="Times New Roman" w:eastAsia="Times New Roman" w:hAnsi="Times New Roman" w:cs="Times New Roman"/>
                <w:b/>
                <w:bCs/>
                <w:sz w:val="24"/>
                <w:szCs w:val="24"/>
                <w:lang w:eastAsia="fr-CA"/>
              </w:rPr>
            </w:pPr>
            <w:r w:rsidRPr="000E20CD">
              <w:rPr>
                <w:rFonts w:ascii="Times New Roman" w:eastAsia="Times New Roman" w:hAnsi="Times New Roman" w:cs="Times New Roman"/>
                <w:b/>
                <w:bCs/>
                <w:sz w:val="24"/>
                <w:szCs w:val="24"/>
                <w:lang w:eastAsia="fr-CA"/>
              </w:rPr>
              <w:t>74 667</w:t>
            </w:r>
          </w:p>
        </w:tc>
      </w:tr>
    </w:tbl>
    <w:p w14:paraId="482AAE6E" w14:textId="77777777" w:rsidR="00F6782F" w:rsidRPr="004A6E37" w:rsidRDefault="00F6782F">
      <w:pPr>
        <w:spacing w:line="360" w:lineRule="auto"/>
        <w:jc w:val="both"/>
        <w:rPr>
          <w:rFonts w:ascii="Times New Roman" w:hAnsi="Times New Roman" w:cs="Times New Roman"/>
          <w:sz w:val="24"/>
          <w:szCs w:val="24"/>
        </w:rPr>
      </w:pPr>
    </w:p>
    <w:p w14:paraId="287281E9" w14:textId="77777777" w:rsidR="009B7F30" w:rsidRPr="004A6E37" w:rsidRDefault="002E2BE8">
      <w:pPr>
        <w:spacing w:line="360" w:lineRule="auto"/>
        <w:jc w:val="both"/>
        <w:rPr>
          <w:rFonts w:ascii="Times New Roman" w:hAnsi="Times New Roman" w:cs="Times New Roman"/>
          <w:b/>
          <w:sz w:val="24"/>
          <w:szCs w:val="24"/>
        </w:rPr>
      </w:pPr>
      <w:r w:rsidRPr="004A6E37">
        <w:rPr>
          <w:rFonts w:ascii="Times New Roman" w:hAnsi="Times New Roman" w:cs="Times New Roman"/>
          <w:sz w:val="24"/>
          <w:szCs w:val="24"/>
        </w:rPr>
        <w:t>a</w:t>
      </w:r>
      <w:r w:rsidR="00CE1B63" w:rsidRPr="004A6E37">
        <w:rPr>
          <w:rFonts w:ascii="Times New Roman" w:hAnsi="Times New Roman" w:cs="Times New Roman"/>
          <w:b/>
          <w:sz w:val="24"/>
          <w:szCs w:val="24"/>
        </w:rPr>
        <w:t>) Personnes m</w:t>
      </w:r>
      <w:r w:rsidRPr="004A6E37">
        <w:rPr>
          <w:rFonts w:ascii="Times New Roman" w:hAnsi="Times New Roman" w:cs="Times New Roman"/>
          <w:b/>
          <w:sz w:val="24"/>
          <w:szCs w:val="24"/>
        </w:rPr>
        <w:t>orales à but lucratif</w:t>
      </w:r>
    </w:p>
    <w:p w14:paraId="4BEE9A37" w14:textId="77777777" w:rsidR="009B7F30" w:rsidRPr="004A6E37" w:rsidRDefault="00F82951">
      <w:pPr>
        <w:spacing w:line="360" w:lineRule="auto"/>
        <w:jc w:val="both"/>
        <w:rPr>
          <w:rFonts w:ascii="Times New Roman" w:hAnsi="Times New Roman" w:cs="Times New Roman"/>
          <w:sz w:val="24"/>
          <w:szCs w:val="24"/>
        </w:rPr>
      </w:pPr>
      <w:r w:rsidRPr="004A6E37">
        <w:rPr>
          <w:rFonts w:ascii="Times New Roman" w:hAnsi="Times New Roman" w:cs="Times New Roman"/>
          <w:sz w:val="24"/>
        </w:rPr>
        <w:lastRenderedPageBreak/>
        <w:t>La personne morale de droit privé à but lucratif a pour </w:t>
      </w:r>
      <w:r w:rsidRPr="004A6E37">
        <w:rPr>
          <w:rFonts w:ascii="Times New Roman" w:hAnsi="Times New Roman" w:cs="Times New Roman"/>
          <w:bCs/>
          <w:sz w:val="24"/>
        </w:rPr>
        <w:t xml:space="preserve">objectif de faire des bénéfices. </w:t>
      </w:r>
      <w:r w:rsidR="002E2BE8" w:rsidRPr="004A6E37">
        <w:rPr>
          <w:rFonts w:ascii="Times New Roman" w:hAnsi="Times New Roman" w:cs="Times New Roman"/>
          <w:sz w:val="24"/>
          <w:szCs w:val="24"/>
          <w:lang w:eastAsia="fr-FR"/>
        </w:rPr>
        <w:br/>
      </w:r>
      <w:r w:rsidR="002E2BE8" w:rsidRPr="004A6E37">
        <w:rPr>
          <w:rFonts w:ascii="Times New Roman" w:hAnsi="Times New Roman" w:cs="Times New Roman"/>
          <w:sz w:val="24"/>
          <w:szCs w:val="24"/>
        </w:rPr>
        <w:t xml:space="preserve">Dans cette analyse, les personnes morales et </w:t>
      </w:r>
      <w:r w:rsidR="006E7C1D" w:rsidRPr="004A6E37">
        <w:rPr>
          <w:rFonts w:ascii="Times New Roman" w:hAnsi="Times New Roman" w:cs="Times New Roman"/>
          <w:sz w:val="24"/>
          <w:szCs w:val="24"/>
        </w:rPr>
        <w:t>autres</w:t>
      </w:r>
      <w:r w:rsidR="002E2BE8" w:rsidRPr="004A6E37">
        <w:rPr>
          <w:rFonts w:ascii="Times New Roman" w:hAnsi="Times New Roman" w:cs="Times New Roman"/>
          <w:sz w:val="24"/>
          <w:szCs w:val="24"/>
        </w:rPr>
        <w:t xml:space="preserve"> constructions juridiques créées au Mali sont classées de la manière suivante : </w:t>
      </w:r>
    </w:p>
    <w:p w14:paraId="1B9F1044"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sociétés commerciales ; </w:t>
      </w:r>
    </w:p>
    <w:p w14:paraId="403FC3D7"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non commerciales ;</w:t>
      </w:r>
    </w:p>
    <w:p w14:paraId="6948DF5A"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autres personnes morales ;</w:t>
      </w:r>
    </w:p>
    <w:p w14:paraId="2BAD6E24" w14:textId="77777777" w:rsidR="009B7F30" w:rsidRPr="004A6E37" w:rsidRDefault="00A71B6B"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constructions juridiques.</w:t>
      </w:r>
    </w:p>
    <w:p w14:paraId="37672AE1" w14:textId="77777777" w:rsidR="009B7F30" w:rsidRPr="004A6E37" w:rsidRDefault="002E2BE8" w:rsidP="00920BFE">
      <w:pPr>
        <w:pStyle w:val="Paragraphedeliste"/>
        <w:numPr>
          <w:ilvl w:val="0"/>
          <w:numId w:val="26"/>
        </w:numPr>
        <w:spacing w:line="360" w:lineRule="auto"/>
        <w:rPr>
          <w:rFonts w:ascii="Times New Roman" w:hAnsi="Times New Roman" w:cs="Times New Roman"/>
          <w:b/>
          <w:sz w:val="24"/>
          <w:szCs w:val="24"/>
        </w:rPr>
      </w:pPr>
      <w:r w:rsidRPr="004A6E37">
        <w:rPr>
          <w:rFonts w:ascii="Times New Roman" w:hAnsi="Times New Roman" w:cs="Times New Roman"/>
          <w:b/>
          <w:sz w:val="24"/>
          <w:szCs w:val="24"/>
        </w:rPr>
        <w:t xml:space="preserve">LES PERSONNES MORALES COMMERCIALES : LES SOCIETES COMMERCIALES </w:t>
      </w:r>
    </w:p>
    <w:p w14:paraId="0BE4BE60"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sociétés commerciales sont créées sous de nombreuses formes. On peut citer les sociétés commerciales privées, </w:t>
      </w:r>
      <w:r w:rsidRPr="004A6E37">
        <w:rPr>
          <w:rFonts w:ascii="Times New Roman" w:hAnsi="Times New Roman" w:cs="Times New Roman"/>
          <w:sz w:val="24"/>
          <w:szCs w:val="24"/>
          <w:lang w:eastAsia="fr-FR"/>
        </w:rPr>
        <w:t xml:space="preserve">notamment la Société Anonyme (SA) ; la Société à Responsabilité Limitée (SARL) ; </w:t>
      </w:r>
      <w:r w:rsidRPr="004A6E37">
        <w:rPr>
          <w:rFonts w:ascii="Times New Roman" w:hAnsi="Times New Roman" w:cs="Times New Roman"/>
          <w:sz w:val="24"/>
          <w:szCs w:val="24"/>
        </w:rPr>
        <w:t xml:space="preserve">la Société par Actions Simplifiées (SAS) ; la Société en Nom Collectif (SNC) et la Société en Commandite Simple (SCS). </w:t>
      </w:r>
    </w:p>
    <w:p w14:paraId="61682B09"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La SARL est la forme de société la plus répandue au Mali. C’est une structure très accessible car exigeant une mise de fonds peu élevée. Cette entité juridique prévoit un capital réduit</w:t>
      </w:r>
      <w:r w:rsidR="00536895" w:rsidRPr="004A6E37">
        <w:rPr>
          <w:rFonts w:ascii="Times New Roman" w:hAnsi="Times New Roman" w:cs="Times New Roman"/>
          <w:sz w:val="24"/>
          <w:szCs w:val="24"/>
        </w:rPr>
        <w:t xml:space="preserve"> d’un million</w:t>
      </w:r>
      <w:r w:rsidRPr="004A6E37">
        <w:rPr>
          <w:rFonts w:ascii="Times New Roman" w:hAnsi="Times New Roman" w:cs="Times New Roman"/>
          <w:sz w:val="24"/>
          <w:szCs w:val="24"/>
        </w:rPr>
        <w:t xml:space="preserve"> (1 000</w:t>
      </w:r>
      <w:r w:rsidR="00536895" w:rsidRPr="004A6E37">
        <w:rPr>
          <w:rFonts w:ascii="Times New Roman" w:hAnsi="Times New Roman" w:cs="Times New Roman"/>
          <w:sz w:val="24"/>
          <w:szCs w:val="24"/>
        </w:rPr>
        <w:t> </w:t>
      </w:r>
      <w:r w:rsidRPr="004A6E37">
        <w:rPr>
          <w:rFonts w:ascii="Times New Roman" w:hAnsi="Times New Roman" w:cs="Times New Roman"/>
          <w:sz w:val="24"/>
          <w:szCs w:val="24"/>
        </w:rPr>
        <w:t>000</w:t>
      </w:r>
      <w:r w:rsidR="00536895" w:rsidRPr="004A6E37">
        <w:rPr>
          <w:rFonts w:ascii="Times New Roman" w:hAnsi="Times New Roman" w:cs="Times New Roman"/>
          <w:sz w:val="24"/>
          <w:szCs w:val="24"/>
        </w:rPr>
        <w:t>)</w:t>
      </w:r>
      <w:r w:rsidRPr="004A6E37">
        <w:rPr>
          <w:rFonts w:ascii="Times New Roman" w:hAnsi="Times New Roman" w:cs="Times New Roman"/>
          <w:sz w:val="24"/>
          <w:szCs w:val="24"/>
        </w:rPr>
        <w:t xml:space="preserve"> </w:t>
      </w:r>
      <w:r w:rsidR="006C450C" w:rsidRPr="004A6E37">
        <w:rPr>
          <w:rFonts w:ascii="Times New Roman" w:hAnsi="Times New Roman" w:cs="Times New Roman"/>
          <w:sz w:val="24"/>
          <w:szCs w:val="24"/>
        </w:rPr>
        <w:t>F CFA</w:t>
      </w:r>
      <w:r w:rsidRPr="004A6E37">
        <w:rPr>
          <w:rFonts w:ascii="Times New Roman" w:hAnsi="Times New Roman" w:cs="Times New Roman"/>
          <w:sz w:val="24"/>
          <w:szCs w:val="24"/>
        </w:rPr>
        <w:t xml:space="preserve"> et a été créée afin de favoriser l’entreprenariat. La SA est la deuxième forme de société la plus répandue, notamment choisie par les grandes entreprises, dans la mesure où les titres de ces sociétés sont, excepté dans des situations précises, librement cessibles, ce qui n’est pas le cas des autres formes de sociétés. </w:t>
      </w:r>
    </w:p>
    <w:p w14:paraId="7447E104"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 Droit</w:t>
      </w:r>
      <w:r w:rsidR="006A2512" w:rsidRPr="004A6E37">
        <w:rPr>
          <w:rFonts w:ascii="Times New Roman" w:hAnsi="Times New Roman" w:cs="Times New Roman"/>
          <w:sz w:val="24"/>
          <w:szCs w:val="24"/>
        </w:rPr>
        <w:t xml:space="preserve"> de</w:t>
      </w:r>
      <w:r w:rsidRPr="004A6E37">
        <w:rPr>
          <w:rFonts w:ascii="Times New Roman" w:hAnsi="Times New Roman" w:cs="Times New Roman"/>
          <w:sz w:val="24"/>
          <w:szCs w:val="24"/>
        </w:rPr>
        <w:t xml:space="preserve"> </w:t>
      </w:r>
      <w:r w:rsidR="006A2512" w:rsidRPr="004A6E37">
        <w:rPr>
          <w:rFonts w:ascii="Times New Roman" w:hAnsi="Times New Roman" w:cs="Times New Roman"/>
          <w:sz w:val="24"/>
          <w:szCs w:val="24"/>
        </w:rPr>
        <w:t>l’Acte Uniforme de l’</w:t>
      </w:r>
      <w:r w:rsidRPr="004A6E37">
        <w:rPr>
          <w:rFonts w:ascii="Times New Roman" w:hAnsi="Times New Roman" w:cs="Times New Roman"/>
          <w:sz w:val="24"/>
          <w:szCs w:val="24"/>
        </w:rPr>
        <w:t>OHADA reconnaît deux grandes catégories de sociétés commerciales. Elles peuvent soit prendre la forme juridique d'une société de capitaux (dans laquelle les actionnaires ne sont tenus des dettes de la société qu'à concurrence de leur apport et dont les titres sont négociables), soit celle d'une société de personnes (dans laquelle les associés sont indéfiniment responsables des dettes de la société, y compris sur leur patrimoine personnel, les titres ne sont pas négociables et la cession des actions à des tiers n'est possible que dans des conditions strictes). Certaines personnes morales peuvent présenter des caractéristiques des deux catégories, c'est-à-dire une responsabilité limitée des associés et une cession limitée (c'est-à-dire dans des conditions strictes) voire nulle des parts à des tiers. C'est pourquoi elles sont appelées des sociétés hybrides.</w:t>
      </w:r>
    </w:p>
    <w:p w14:paraId="0490541D" w14:textId="77777777" w:rsidR="00382CFA" w:rsidRDefault="00382CFA">
      <w:pPr>
        <w:spacing w:line="360" w:lineRule="auto"/>
        <w:jc w:val="both"/>
        <w:rPr>
          <w:rFonts w:ascii="Times New Roman" w:hAnsi="Times New Roman" w:cs="Times New Roman"/>
          <w:b/>
          <w:sz w:val="24"/>
          <w:szCs w:val="24"/>
        </w:rPr>
      </w:pPr>
    </w:p>
    <w:p w14:paraId="2FF7812D" w14:textId="77777777" w:rsidR="00382CFA" w:rsidRDefault="00382CFA">
      <w:pPr>
        <w:spacing w:line="360" w:lineRule="auto"/>
        <w:jc w:val="both"/>
        <w:rPr>
          <w:rFonts w:ascii="Times New Roman" w:hAnsi="Times New Roman" w:cs="Times New Roman"/>
          <w:b/>
          <w:sz w:val="24"/>
          <w:szCs w:val="24"/>
        </w:rPr>
      </w:pPr>
    </w:p>
    <w:p w14:paraId="45236E5E"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b/>
          <w:sz w:val="24"/>
          <w:szCs w:val="24"/>
        </w:rPr>
        <w:lastRenderedPageBreak/>
        <w:t>Sociétés de capitaux</w:t>
      </w:r>
      <w:r w:rsidRPr="004A6E37">
        <w:rPr>
          <w:rFonts w:ascii="Times New Roman" w:hAnsi="Times New Roman" w:cs="Times New Roman"/>
          <w:sz w:val="24"/>
          <w:szCs w:val="24"/>
        </w:rPr>
        <w:t xml:space="preserve"> </w:t>
      </w:r>
    </w:p>
    <w:p w14:paraId="7B4DEFE0"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sociétés de capitaux ont un caractère impersonnel, reposant sur le capital apporté par les actionnaires indépendamment de leurs capacités personnelles, morales ou commerciales. Les actions de la société sont librement cessibles et la responsabilité des actionnaires est en principe limitée au montant de leur apport. Elles comprennent : </w:t>
      </w:r>
    </w:p>
    <w:p w14:paraId="77F85B82"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anonymes (SA) ;</w:t>
      </w:r>
    </w:p>
    <w:p w14:paraId="0DDB833D"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par actions simplifiée</w:t>
      </w:r>
      <w:r w:rsidR="00C83E81" w:rsidRPr="004A6E37">
        <w:rPr>
          <w:rFonts w:ascii="Times New Roman" w:hAnsi="Times New Roman" w:cs="Times New Roman"/>
          <w:sz w:val="24"/>
          <w:szCs w:val="24"/>
        </w:rPr>
        <w:t>s</w:t>
      </w:r>
      <w:r w:rsidRPr="004A6E37">
        <w:rPr>
          <w:rFonts w:ascii="Times New Roman" w:hAnsi="Times New Roman" w:cs="Times New Roman"/>
          <w:sz w:val="24"/>
          <w:szCs w:val="24"/>
        </w:rPr>
        <w:t xml:space="preserve"> (SAS).</w:t>
      </w:r>
    </w:p>
    <w:p w14:paraId="39467C20" w14:textId="77777777" w:rsidR="009B7F30" w:rsidRPr="004A6E37" w:rsidRDefault="002E2BE8">
      <w:pPr>
        <w:spacing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Sociétés de personnes</w:t>
      </w:r>
      <w:r w:rsidR="00095465" w:rsidRPr="004A6E37">
        <w:rPr>
          <w:rFonts w:ascii="Times New Roman" w:hAnsi="Times New Roman" w:cs="Times New Roman"/>
          <w:b/>
          <w:sz w:val="24"/>
          <w:szCs w:val="24"/>
        </w:rPr>
        <w:t> :</w:t>
      </w:r>
    </w:p>
    <w:p w14:paraId="60149D9B"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de personnes sont conceptuellement similaires aux entreprises individuelles, dans la mesure où le contrat de société est fondé sur la personne même des associés « qui se connaissent et se font confiance ». Les parts sociales ne sont cessibles qu'avec le consentement de tous les associés ou so</w:t>
      </w:r>
      <w:r w:rsidR="00095465" w:rsidRPr="004A6E37">
        <w:rPr>
          <w:rFonts w:ascii="Times New Roman" w:hAnsi="Times New Roman" w:cs="Times New Roman"/>
          <w:sz w:val="24"/>
          <w:szCs w:val="24"/>
        </w:rPr>
        <w:t xml:space="preserve">us des conditions strictes, les </w:t>
      </w:r>
      <w:r w:rsidRPr="004A6E37">
        <w:rPr>
          <w:rFonts w:ascii="Times New Roman" w:hAnsi="Times New Roman" w:cs="Times New Roman"/>
          <w:sz w:val="24"/>
          <w:szCs w:val="24"/>
        </w:rPr>
        <w:t xml:space="preserve">associés étant solidairement et indéfiniment responsables des dettes de la société. Elles comprennent : </w:t>
      </w:r>
    </w:p>
    <w:p w14:paraId="11EF362D"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en nom collectif (SNC) ;</w:t>
      </w:r>
    </w:p>
    <w:p w14:paraId="20FE2149" w14:textId="77777777" w:rsidR="009B7F30" w:rsidRPr="004A6E37" w:rsidRDefault="002E2BE8" w:rsidP="00920BFE">
      <w:pPr>
        <w:pStyle w:val="Paragraphedeliste"/>
        <w:numPr>
          <w:ilvl w:val="0"/>
          <w:numId w:val="8"/>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en commandite simple (SCS)</w:t>
      </w:r>
    </w:p>
    <w:p w14:paraId="504FA531" w14:textId="77777777" w:rsidR="009B7F30" w:rsidRPr="004A6E37" w:rsidRDefault="002E2BE8">
      <w:pPr>
        <w:spacing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 xml:space="preserve">Sociétés hybrides </w:t>
      </w:r>
    </w:p>
    <w:p w14:paraId="1A812112"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sociétés hybrides empruntent des caractéristiques à la fois aux sociétés de capitaux et aux sociétés de personnes, principalement en ce que la responsabilité des actionnaires est limitée au montant apporté et que les actions ne sont transférables à des tiers que dans des conditions strictes (voire impossibles). Les sociétés hybrides comprennent : </w:t>
      </w:r>
    </w:p>
    <w:p w14:paraId="66DE61F7" w14:textId="77777777" w:rsidR="009B7F30" w:rsidRPr="004A6E37" w:rsidRDefault="002E2BE8" w:rsidP="00920BFE">
      <w:pPr>
        <w:pStyle w:val="Paragraphedeliste"/>
        <w:numPr>
          <w:ilvl w:val="0"/>
          <w:numId w:val="9"/>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à responsabilité limitée (SARL)</w:t>
      </w:r>
      <w:r w:rsidR="007765BD" w:rsidRPr="004A6E37">
        <w:rPr>
          <w:rFonts w:ascii="Times New Roman" w:hAnsi="Times New Roman" w:cs="Times New Roman"/>
          <w:sz w:val="24"/>
          <w:szCs w:val="24"/>
        </w:rPr>
        <w:t> ;</w:t>
      </w:r>
      <w:r w:rsidRPr="004A6E37">
        <w:rPr>
          <w:rFonts w:ascii="Times New Roman" w:hAnsi="Times New Roman" w:cs="Times New Roman"/>
          <w:sz w:val="24"/>
          <w:szCs w:val="24"/>
        </w:rPr>
        <w:t xml:space="preserve"> </w:t>
      </w:r>
    </w:p>
    <w:p w14:paraId="7C6123EF" w14:textId="77777777" w:rsidR="009B7F30" w:rsidRPr="004A6E37" w:rsidRDefault="002E2BE8" w:rsidP="00920BFE">
      <w:pPr>
        <w:pStyle w:val="Paragraphedeliste"/>
        <w:numPr>
          <w:ilvl w:val="0"/>
          <w:numId w:val="9"/>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coopératives.</w:t>
      </w:r>
    </w:p>
    <w:p w14:paraId="35AC748C" w14:textId="77777777" w:rsidR="009B7F30" w:rsidRPr="004A6E37" w:rsidRDefault="002E2BE8">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Au sens du droit </w:t>
      </w:r>
      <w:r w:rsidR="006A2512" w:rsidRPr="004A6E37">
        <w:rPr>
          <w:rFonts w:ascii="Times New Roman" w:hAnsi="Times New Roman" w:cs="Times New Roman"/>
          <w:sz w:val="24"/>
          <w:szCs w:val="24"/>
        </w:rPr>
        <w:t>de l’Acte Uniforme de l’</w:t>
      </w:r>
      <w:r w:rsidRPr="004A6E37">
        <w:rPr>
          <w:rFonts w:ascii="Times New Roman" w:hAnsi="Times New Roman" w:cs="Times New Roman"/>
          <w:sz w:val="24"/>
          <w:szCs w:val="24"/>
        </w:rPr>
        <w:t>OHADA</w:t>
      </w:r>
      <w:r w:rsidR="006D70E4" w:rsidRPr="004A6E37">
        <w:rPr>
          <w:rFonts w:ascii="Times New Roman" w:hAnsi="Times New Roman" w:cs="Times New Roman"/>
          <w:sz w:val="24"/>
          <w:szCs w:val="24"/>
        </w:rPr>
        <w:t>,</w:t>
      </w:r>
      <w:r w:rsidRPr="004A6E37">
        <w:rPr>
          <w:rFonts w:ascii="Times New Roman" w:hAnsi="Times New Roman" w:cs="Times New Roman"/>
          <w:sz w:val="24"/>
          <w:szCs w:val="24"/>
        </w:rPr>
        <w:t xml:space="preserve"> chacune de ces sociétés constitue une personne morale, dotée d'une personnalité juridique distincte de celle de ses membres. Il convient également de noter que l’Acte Uniforme </w:t>
      </w:r>
      <w:r w:rsidR="006A2512" w:rsidRPr="004A6E37">
        <w:rPr>
          <w:rFonts w:ascii="Times New Roman" w:hAnsi="Times New Roman" w:cs="Times New Roman"/>
          <w:sz w:val="24"/>
          <w:szCs w:val="24"/>
        </w:rPr>
        <w:t>de l’</w:t>
      </w:r>
      <w:r w:rsidRPr="004A6E37">
        <w:rPr>
          <w:rFonts w:ascii="Times New Roman" w:hAnsi="Times New Roman" w:cs="Times New Roman"/>
          <w:sz w:val="24"/>
          <w:szCs w:val="24"/>
        </w:rPr>
        <w:t>OHADA portant droit des sociétés et GIE prévoit que la</w:t>
      </w:r>
      <w:r w:rsidR="000C5635" w:rsidRPr="004A6E37">
        <w:rPr>
          <w:rFonts w:ascii="Times New Roman" w:hAnsi="Times New Roman" w:cs="Times New Roman"/>
          <w:sz w:val="24"/>
          <w:szCs w:val="24"/>
        </w:rPr>
        <w:t xml:space="preserve"> Société en Participation (SP) </w:t>
      </w:r>
      <w:r w:rsidRPr="004A6E37">
        <w:rPr>
          <w:rFonts w:ascii="Times New Roman" w:hAnsi="Times New Roman" w:cs="Times New Roman"/>
          <w:sz w:val="24"/>
          <w:szCs w:val="24"/>
        </w:rPr>
        <w:t>s</w:t>
      </w:r>
      <w:r w:rsidR="000C5635" w:rsidRPr="004A6E37">
        <w:rPr>
          <w:rFonts w:ascii="Times New Roman" w:hAnsi="Times New Roman" w:cs="Times New Roman"/>
          <w:sz w:val="24"/>
          <w:szCs w:val="24"/>
        </w:rPr>
        <w:t>oi</w:t>
      </w:r>
      <w:r w:rsidRPr="004A6E37">
        <w:rPr>
          <w:rFonts w:ascii="Times New Roman" w:hAnsi="Times New Roman" w:cs="Times New Roman"/>
          <w:sz w:val="24"/>
          <w:szCs w:val="24"/>
        </w:rPr>
        <w:t xml:space="preserve">t fondamentalement une société sans personnalité juridique. </w:t>
      </w:r>
    </w:p>
    <w:p w14:paraId="33FFE7EA" w14:textId="77777777" w:rsidR="0042234B" w:rsidRDefault="002E2BE8" w:rsidP="0042234B">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Outre les personnes morales mentionnées ci-dessus, l’Acte Uniforme </w:t>
      </w:r>
      <w:r w:rsidR="006A2512" w:rsidRPr="004A6E37">
        <w:rPr>
          <w:rFonts w:ascii="Times New Roman" w:hAnsi="Times New Roman" w:cs="Times New Roman"/>
          <w:sz w:val="24"/>
          <w:szCs w:val="24"/>
        </w:rPr>
        <w:t>de l’</w:t>
      </w:r>
      <w:r w:rsidRPr="004A6E37">
        <w:rPr>
          <w:rFonts w:ascii="Times New Roman" w:hAnsi="Times New Roman" w:cs="Times New Roman"/>
          <w:sz w:val="24"/>
          <w:szCs w:val="24"/>
        </w:rPr>
        <w:t xml:space="preserve">OHADA portant droit des sociétés et GIE indique que les SP n'ont pas de personnalité juridique distincte.  De même, une société commerciale en participation est une société, sans personnalité juridique, par laquelle une ou plusieurs personnes acquièrent un intérêt dans des opérations gérées par une ou plusieurs autres </w:t>
      </w:r>
      <w:r w:rsidRPr="004A6E37">
        <w:rPr>
          <w:rFonts w:ascii="Times New Roman" w:hAnsi="Times New Roman" w:cs="Times New Roman"/>
          <w:sz w:val="24"/>
          <w:szCs w:val="24"/>
        </w:rPr>
        <w:lastRenderedPageBreak/>
        <w:t>personnes en son ou leur nom. Ce type de société est constitué entre leurs associés pour les objets, dans les formes, avec les proportions d’intérêts et selon les modalités convenues entre eux. Ce</w:t>
      </w:r>
      <w:r w:rsidR="00002C77" w:rsidRPr="004A6E37">
        <w:rPr>
          <w:rFonts w:ascii="Times New Roman" w:hAnsi="Times New Roman" w:cs="Times New Roman"/>
          <w:sz w:val="24"/>
          <w:szCs w:val="24"/>
        </w:rPr>
        <w:t>ci explique pourquoi elle n’est</w:t>
      </w:r>
      <w:r w:rsidRPr="004A6E37">
        <w:rPr>
          <w:rFonts w:ascii="Times New Roman" w:hAnsi="Times New Roman" w:cs="Times New Roman"/>
          <w:sz w:val="24"/>
          <w:szCs w:val="24"/>
        </w:rPr>
        <w:t xml:space="preserve"> pas immatriculée au RCCM. En raison de l</w:t>
      </w:r>
      <w:r w:rsidR="007B5F42" w:rsidRPr="004A6E37">
        <w:rPr>
          <w:rFonts w:ascii="Times New Roman" w:hAnsi="Times New Roman" w:cs="Times New Roman"/>
          <w:sz w:val="24"/>
          <w:szCs w:val="24"/>
        </w:rPr>
        <w:t>eur objet, ces types de société</w:t>
      </w:r>
      <w:r w:rsidRPr="004A6E37">
        <w:rPr>
          <w:rFonts w:ascii="Times New Roman" w:hAnsi="Times New Roman" w:cs="Times New Roman"/>
          <w:sz w:val="24"/>
          <w:szCs w:val="24"/>
        </w:rPr>
        <w:t xml:space="preserve"> ne sont pas analysés dans le présent document. </w:t>
      </w:r>
    </w:p>
    <w:p w14:paraId="7B70D9AA" w14:textId="77777777" w:rsidR="009B7F30" w:rsidRPr="004A6E37" w:rsidRDefault="002E2BE8" w:rsidP="00920BFE">
      <w:pPr>
        <w:pStyle w:val="Paragraphedeliste"/>
        <w:numPr>
          <w:ilvl w:val="0"/>
          <w:numId w:val="26"/>
        </w:numPr>
        <w:spacing w:line="360" w:lineRule="auto"/>
        <w:jc w:val="both"/>
        <w:rPr>
          <w:rFonts w:ascii="Times New Roman" w:hAnsi="Times New Roman" w:cs="Times New Roman"/>
          <w:sz w:val="24"/>
          <w:szCs w:val="24"/>
        </w:rPr>
      </w:pPr>
      <w:r w:rsidRPr="004A6E37">
        <w:rPr>
          <w:rFonts w:ascii="Times New Roman" w:hAnsi="Times New Roman" w:cs="Times New Roman"/>
          <w:b/>
          <w:sz w:val="24"/>
          <w:szCs w:val="24"/>
        </w:rPr>
        <w:t>PERSONNES MORALES NON COMMERCIALES</w:t>
      </w:r>
      <w:r w:rsidRPr="004A6E37">
        <w:rPr>
          <w:rFonts w:ascii="Times New Roman" w:hAnsi="Times New Roman" w:cs="Times New Roman"/>
          <w:sz w:val="24"/>
          <w:szCs w:val="24"/>
        </w:rPr>
        <w:t xml:space="preserve"> </w:t>
      </w:r>
    </w:p>
    <w:p w14:paraId="335B50E9" w14:textId="77777777" w:rsidR="009B7F30" w:rsidRPr="004A6E37" w:rsidRDefault="002E2BE8" w:rsidP="005440D6">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personnes morales non c</w:t>
      </w:r>
      <w:r w:rsidR="005440D6" w:rsidRPr="004A6E37">
        <w:rPr>
          <w:rFonts w:ascii="Times New Roman" w:hAnsi="Times New Roman" w:cs="Times New Roman"/>
          <w:sz w:val="24"/>
          <w:szCs w:val="24"/>
        </w:rPr>
        <w:t xml:space="preserve">ommerciales au Mali englobent les sociétés civiles </w:t>
      </w:r>
      <w:r w:rsidRPr="004A6E37">
        <w:rPr>
          <w:rFonts w:ascii="Times New Roman" w:hAnsi="Times New Roman" w:cs="Times New Roman"/>
          <w:sz w:val="24"/>
          <w:szCs w:val="24"/>
        </w:rPr>
        <w:t>qui exercen</w:t>
      </w:r>
      <w:r w:rsidR="00333964" w:rsidRPr="004A6E37">
        <w:rPr>
          <w:rFonts w:ascii="Times New Roman" w:hAnsi="Times New Roman" w:cs="Times New Roman"/>
          <w:sz w:val="24"/>
          <w:szCs w:val="24"/>
        </w:rPr>
        <w:t>t une activité de nature civile</w:t>
      </w:r>
      <w:r w:rsidRPr="004A6E37">
        <w:rPr>
          <w:rFonts w:ascii="Times New Roman" w:hAnsi="Times New Roman" w:cs="Times New Roman"/>
          <w:sz w:val="24"/>
          <w:szCs w:val="24"/>
        </w:rPr>
        <w:t>.</w:t>
      </w:r>
    </w:p>
    <w:p w14:paraId="513BC1C0" w14:textId="77777777" w:rsidR="009B7F30" w:rsidRPr="004A6E37" w:rsidRDefault="002E2BE8">
      <w:pPr>
        <w:ind w:left="360"/>
        <w:rPr>
          <w:rFonts w:ascii="Times New Roman" w:hAnsi="Times New Roman" w:cs="Times New Roman"/>
          <w:b/>
          <w:sz w:val="24"/>
          <w:szCs w:val="24"/>
        </w:rPr>
      </w:pPr>
      <w:r w:rsidRPr="004A6E37">
        <w:rPr>
          <w:rFonts w:ascii="Times New Roman" w:hAnsi="Times New Roman" w:cs="Times New Roman"/>
          <w:sz w:val="24"/>
          <w:szCs w:val="24"/>
        </w:rPr>
        <w:t xml:space="preserve"> b). </w:t>
      </w:r>
      <w:r w:rsidR="00835FBE" w:rsidRPr="004A6E37">
        <w:rPr>
          <w:rFonts w:ascii="Times New Roman" w:hAnsi="Times New Roman" w:cs="Times New Roman"/>
          <w:b/>
          <w:sz w:val="24"/>
          <w:szCs w:val="24"/>
        </w:rPr>
        <w:t>Personnes m</w:t>
      </w:r>
      <w:r w:rsidRPr="004A6E37">
        <w:rPr>
          <w:rFonts w:ascii="Times New Roman" w:hAnsi="Times New Roman" w:cs="Times New Roman"/>
          <w:b/>
          <w:sz w:val="24"/>
          <w:szCs w:val="24"/>
        </w:rPr>
        <w:t>orales à but non lucratif</w:t>
      </w:r>
    </w:p>
    <w:p w14:paraId="7C84CB0C" w14:textId="77777777" w:rsidR="009B7F30" w:rsidRPr="004A6E37" w:rsidRDefault="00F82951" w:rsidP="000741D7">
      <w:pPr>
        <w:spacing w:line="360" w:lineRule="auto"/>
        <w:ind w:left="360"/>
        <w:jc w:val="both"/>
        <w:rPr>
          <w:rFonts w:ascii="Times New Roman" w:hAnsi="Times New Roman" w:cs="Times New Roman"/>
          <w:sz w:val="24"/>
          <w:szCs w:val="24"/>
        </w:rPr>
      </w:pPr>
      <w:r w:rsidRPr="004A6E37">
        <w:rPr>
          <w:rFonts w:ascii="Times New Roman" w:hAnsi="Times New Roman" w:cs="Times New Roman"/>
          <w:sz w:val="24"/>
          <w:szCs w:val="24"/>
          <w:lang w:eastAsia="fr-FR"/>
        </w:rPr>
        <w:t>La personne morale de droit privé à but non lucratif poursuit un </w:t>
      </w:r>
      <w:r w:rsidRPr="004A6E37">
        <w:rPr>
          <w:rFonts w:ascii="Times New Roman" w:hAnsi="Times New Roman" w:cs="Times New Roman"/>
          <w:bCs/>
          <w:sz w:val="24"/>
          <w:szCs w:val="24"/>
          <w:lang w:eastAsia="fr-FR"/>
        </w:rPr>
        <w:t>but autre que la recherche de bénéfices</w:t>
      </w:r>
      <w:r w:rsidRPr="004A6E37">
        <w:rPr>
          <w:rFonts w:ascii="Times New Roman" w:hAnsi="Times New Roman" w:cs="Times New Roman"/>
          <w:sz w:val="24"/>
          <w:szCs w:val="24"/>
          <w:lang w:eastAsia="fr-FR"/>
        </w:rPr>
        <w:t xml:space="preserve">: les syndicats ont pour but de défendre les intérêts d’un groupe d’individus ; les associations peuvent avoir des buts très divers (pratique d’un sport, but humanitaire, artistique, etc.). </w:t>
      </w:r>
      <w:r w:rsidR="002E2BE8" w:rsidRPr="004A6E37">
        <w:rPr>
          <w:rFonts w:ascii="Times New Roman" w:hAnsi="Times New Roman" w:cs="Times New Roman"/>
          <w:sz w:val="24"/>
          <w:szCs w:val="24"/>
        </w:rPr>
        <w:t>Ces personnes morale</w:t>
      </w:r>
      <w:r w:rsidR="00A51185" w:rsidRPr="004A6E37">
        <w:rPr>
          <w:rFonts w:ascii="Times New Roman" w:hAnsi="Times New Roman" w:cs="Times New Roman"/>
          <w:sz w:val="24"/>
          <w:szCs w:val="24"/>
        </w:rPr>
        <w:t>s sont constituées par les OBNL</w:t>
      </w:r>
      <w:r w:rsidR="002E2BE8" w:rsidRPr="004A6E37">
        <w:rPr>
          <w:rFonts w:ascii="Times New Roman" w:hAnsi="Times New Roman" w:cs="Times New Roman"/>
          <w:sz w:val="24"/>
          <w:szCs w:val="24"/>
        </w:rPr>
        <w:t xml:space="preserve"> qui au Mali peuvent prendre les formes suivantes : </w:t>
      </w:r>
    </w:p>
    <w:p w14:paraId="0D6E8592" w14:textId="77777777" w:rsidR="009B7F30" w:rsidRPr="004A6E37" w:rsidRDefault="002E2BE8" w:rsidP="00920BFE">
      <w:pPr>
        <w:pStyle w:val="Paragraphedeliste"/>
        <w:numPr>
          <w:ilvl w:val="0"/>
          <w:numId w:val="28"/>
        </w:numPr>
        <w:spacing w:line="360" w:lineRule="auto"/>
        <w:rPr>
          <w:rFonts w:ascii="Times New Roman" w:hAnsi="Times New Roman" w:cs="Times New Roman"/>
          <w:sz w:val="24"/>
          <w:szCs w:val="24"/>
        </w:rPr>
      </w:pPr>
      <w:r w:rsidRPr="004A6E37">
        <w:rPr>
          <w:rFonts w:ascii="Times New Roman" w:hAnsi="Times New Roman" w:cs="Times New Roman"/>
          <w:sz w:val="24"/>
          <w:szCs w:val="24"/>
        </w:rPr>
        <w:t>Associations ou autre groupement sans but lucratif ;</w:t>
      </w:r>
    </w:p>
    <w:p w14:paraId="6406EF67" w14:textId="77777777" w:rsidR="009B7F30" w:rsidRPr="004A6E37" w:rsidRDefault="002E2BE8" w:rsidP="00920BFE">
      <w:pPr>
        <w:pStyle w:val="Paragraphedeliste"/>
        <w:numPr>
          <w:ilvl w:val="0"/>
          <w:numId w:val="28"/>
        </w:numPr>
        <w:spacing w:line="360" w:lineRule="auto"/>
        <w:rPr>
          <w:rFonts w:ascii="Times New Roman" w:hAnsi="Times New Roman" w:cs="Times New Roman"/>
          <w:sz w:val="24"/>
          <w:szCs w:val="24"/>
        </w:rPr>
      </w:pPr>
      <w:r w:rsidRPr="004A6E37">
        <w:rPr>
          <w:rFonts w:ascii="Times New Roman" w:hAnsi="Times New Roman" w:cs="Times New Roman"/>
          <w:sz w:val="24"/>
          <w:szCs w:val="24"/>
        </w:rPr>
        <w:t>Fondations.</w:t>
      </w:r>
    </w:p>
    <w:p w14:paraId="791B398D" w14:textId="77777777" w:rsidR="009B7F30" w:rsidRPr="004A6E37" w:rsidRDefault="002E2BE8" w:rsidP="000741D7">
      <w:pPr>
        <w:spacing w:line="360" w:lineRule="auto"/>
        <w:ind w:left="360"/>
        <w:rPr>
          <w:rFonts w:ascii="Times New Roman" w:hAnsi="Times New Roman" w:cs="Times New Roman"/>
          <w:sz w:val="24"/>
          <w:szCs w:val="24"/>
        </w:rPr>
      </w:pPr>
      <w:r w:rsidRPr="004A6E37">
        <w:rPr>
          <w:rFonts w:ascii="Times New Roman" w:hAnsi="Times New Roman" w:cs="Times New Roman"/>
          <w:sz w:val="24"/>
          <w:szCs w:val="24"/>
        </w:rPr>
        <w:t>Les associations signataires d’accord cadre avec l’Etat prennent la forme d’O</w:t>
      </w:r>
      <w:r w:rsidR="00411C2B" w:rsidRPr="004A6E37">
        <w:rPr>
          <w:rFonts w:ascii="Times New Roman" w:hAnsi="Times New Roman" w:cs="Times New Roman"/>
          <w:sz w:val="24"/>
          <w:szCs w:val="24"/>
        </w:rPr>
        <w:t xml:space="preserve">rganisation </w:t>
      </w:r>
      <w:r w:rsidRPr="004A6E37">
        <w:rPr>
          <w:rFonts w:ascii="Times New Roman" w:hAnsi="Times New Roman" w:cs="Times New Roman"/>
          <w:sz w:val="24"/>
          <w:szCs w:val="24"/>
        </w:rPr>
        <w:t>N</w:t>
      </w:r>
      <w:r w:rsidR="00411C2B" w:rsidRPr="004A6E37">
        <w:rPr>
          <w:rFonts w:ascii="Times New Roman" w:hAnsi="Times New Roman" w:cs="Times New Roman"/>
          <w:sz w:val="24"/>
          <w:szCs w:val="24"/>
        </w:rPr>
        <w:t xml:space="preserve">on </w:t>
      </w:r>
      <w:r w:rsidRPr="004A6E37">
        <w:rPr>
          <w:rFonts w:ascii="Times New Roman" w:hAnsi="Times New Roman" w:cs="Times New Roman"/>
          <w:sz w:val="24"/>
          <w:szCs w:val="24"/>
        </w:rPr>
        <w:t>G</w:t>
      </w:r>
      <w:r w:rsidR="00411C2B" w:rsidRPr="004A6E37">
        <w:rPr>
          <w:rFonts w:ascii="Times New Roman" w:hAnsi="Times New Roman" w:cs="Times New Roman"/>
          <w:sz w:val="24"/>
          <w:szCs w:val="24"/>
        </w:rPr>
        <w:t>ouvernementale (ONG)</w:t>
      </w:r>
      <w:r w:rsidRPr="004A6E37">
        <w:rPr>
          <w:rFonts w:ascii="Times New Roman" w:hAnsi="Times New Roman" w:cs="Times New Roman"/>
          <w:sz w:val="24"/>
          <w:szCs w:val="24"/>
        </w:rPr>
        <w:t>.</w:t>
      </w:r>
    </w:p>
    <w:p w14:paraId="247BCF16" w14:textId="77777777" w:rsidR="009B7F30" w:rsidRPr="004A6E37" w:rsidRDefault="002E2BE8" w:rsidP="0075262F">
      <w:pPr>
        <w:pStyle w:val="Titre3"/>
        <w:numPr>
          <w:ilvl w:val="0"/>
          <w:numId w:val="0"/>
        </w:numPr>
        <w:ind w:left="720" w:hanging="720"/>
        <w:rPr>
          <w:sz w:val="24"/>
          <w:szCs w:val="24"/>
        </w:rPr>
      </w:pPr>
      <w:bookmarkStart w:id="24" w:name="_Toc126251870"/>
      <w:r w:rsidRPr="004A6E37">
        <w:rPr>
          <w:sz w:val="24"/>
          <w:szCs w:val="24"/>
        </w:rPr>
        <w:t>3.2. CONSTRUCTIONS JURIDIQUES</w:t>
      </w:r>
      <w:bookmarkEnd w:id="24"/>
    </w:p>
    <w:p w14:paraId="3CC43205" w14:textId="77777777" w:rsidR="009B7F30" w:rsidRPr="004A6E37" w:rsidRDefault="002E2BE8" w:rsidP="006025BF">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fiducies et autres constructions juridiques permettent de séparer la propriété légale et la propriété effective des actifs. Il existe donc un risque que les fiducies et autres constructions juridiques soient utilisées abusivement pour dissimuler le BE de ces actifs. En outre, l'identification du BE des actifs peut être encore plus difficile lorsque la fiducie a des structures de propriété et de contrôle complexes et à plusieurs niveaux, impliquant plusieurs pays. Comme expliqué précédemment, la Recommandation 25 du GAFI n'exige pas des pays qu'ils procèdent à une évaluation des risques de BC/FT posés par les constructions juridiques. Toutefois, l'ENR 2018 a identifié les constructions juridiques de droit  (fiducies) comme des sous-secteurs à risque « très élevé ». Étant donné que le pays vise à améliorer en permanence sa compréhension des risques de BC/FT, les fiducies sont incluses dans l'analyse. Il est important de noter que les fiducies et les trusts ne sont pas considérés comme des personnes morales et, par conséquent, ils ne sont pas enregistrés auprès du RCCM. </w:t>
      </w:r>
    </w:p>
    <w:p w14:paraId="4DBFB80B" w14:textId="77777777" w:rsidR="00F466DA" w:rsidRPr="004A6E37" w:rsidRDefault="00AF6ACD" w:rsidP="0075262F">
      <w:pPr>
        <w:pStyle w:val="Titre2"/>
        <w:numPr>
          <w:ilvl w:val="0"/>
          <w:numId w:val="0"/>
        </w:numPr>
        <w:ind w:left="576" w:hanging="576"/>
        <w:rPr>
          <w:rFonts w:ascii="Times New Roman" w:hAnsi="Times New Roman" w:cs="Times New Roman"/>
          <w:b/>
          <w:color w:val="auto"/>
          <w:sz w:val="24"/>
          <w:szCs w:val="24"/>
        </w:rPr>
      </w:pPr>
      <w:bookmarkStart w:id="25" w:name="_Toc126251871"/>
      <w:r w:rsidRPr="004A6E37">
        <w:rPr>
          <w:rFonts w:ascii="Times New Roman" w:hAnsi="Times New Roman" w:cs="Times New Roman"/>
          <w:b/>
          <w:color w:val="auto"/>
          <w:sz w:val="24"/>
          <w:szCs w:val="24"/>
        </w:rPr>
        <w:lastRenderedPageBreak/>
        <w:t>IV. OBLIGA</w:t>
      </w:r>
      <w:r w:rsidR="008D62C8" w:rsidRPr="004A6E37">
        <w:rPr>
          <w:rFonts w:ascii="Times New Roman" w:hAnsi="Times New Roman" w:cs="Times New Roman"/>
          <w:b/>
          <w:color w:val="auto"/>
          <w:sz w:val="24"/>
          <w:szCs w:val="24"/>
        </w:rPr>
        <w:t>TIONS DES DILIGENCES EN MATIERE</w:t>
      </w:r>
      <w:r w:rsidRPr="004A6E37">
        <w:rPr>
          <w:rFonts w:ascii="Times New Roman" w:hAnsi="Times New Roman" w:cs="Times New Roman"/>
          <w:b/>
          <w:color w:val="auto"/>
          <w:sz w:val="24"/>
          <w:szCs w:val="24"/>
        </w:rPr>
        <w:t xml:space="preserve"> DE LBC/FT</w:t>
      </w:r>
      <w:bookmarkEnd w:id="25"/>
    </w:p>
    <w:p w14:paraId="4F0449BF" w14:textId="77777777" w:rsidR="000F3D86" w:rsidRPr="004A6E37" w:rsidRDefault="002E2BE8" w:rsidP="001F564C">
      <w:pPr>
        <w:pStyle w:val="Titre3"/>
        <w:numPr>
          <w:ilvl w:val="0"/>
          <w:numId w:val="0"/>
        </w:numPr>
        <w:ind w:left="720" w:hanging="720"/>
        <w:rPr>
          <w:sz w:val="24"/>
          <w:szCs w:val="24"/>
        </w:rPr>
      </w:pPr>
      <w:r w:rsidRPr="004A6E37">
        <w:rPr>
          <w:sz w:val="24"/>
          <w:szCs w:val="24"/>
        </w:rPr>
        <w:t xml:space="preserve"> </w:t>
      </w:r>
      <w:bookmarkStart w:id="26" w:name="_Toc112857555"/>
      <w:bookmarkStart w:id="27" w:name="_Toc118293964"/>
      <w:bookmarkStart w:id="28" w:name="_Toc126251872"/>
      <w:r w:rsidR="00F466DA" w:rsidRPr="004A6E37">
        <w:rPr>
          <w:sz w:val="24"/>
          <w:szCs w:val="24"/>
        </w:rPr>
        <w:t xml:space="preserve">4.1. </w:t>
      </w:r>
      <w:r w:rsidR="000F3D86" w:rsidRPr="004A6E37">
        <w:rPr>
          <w:sz w:val="24"/>
          <w:szCs w:val="24"/>
        </w:rPr>
        <w:t>Obligations relatives à l’évaluation des risques BC/FT</w:t>
      </w:r>
      <w:bookmarkEnd w:id="26"/>
      <w:bookmarkEnd w:id="27"/>
      <w:bookmarkEnd w:id="28"/>
    </w:p>
    <w:p w14:paraId="728E16B9" w14:textId="77777777" w:rsidR="00F466DA" w:rsidRPr="004A6E37" w:rsidRDefault="000F3D86" w:rsidP="00FA01AC">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Aux termes des dispositions de l’article 11 de la Loi n°2016-008 du 17 Mars 2016</w:t>
      </w:r>
      <w:r w:rsidR="00DC3C0B" w:rsidRPr="004A6E37">
        <w:rPr>
          <w:rFonts w:ascii="Times New Roman" w:hAnsi="Times New Roman" w:cs="Times New Roman"/>
          <w:sz w:val="24"/>
          <w:szCs w:val="24"/>
        </w:rPr>
        <w:t>,</w:t>
      </w:r>
      <w:r w:rsidRPr="004A6E37">
        <w:rPr>
          <w:rFonts w:ascii="Times New Roman" w:hAnsi="Times New Roman" w:cs="Times New Roman"/>
          <w:sz w:val="24"/>
          <w:szCs w:val="24"/>
        </w:rPr>
        <w:t xml:space="preserve"> « les personnes assujetties prennent des mesures appropriées pour identifier et évaluer les risques de BC/FT </w:t>
      </w:r>
      <w:r w:rsidR="00F466DA" w:rsidRPr="004A6E37">
        <w:rPr>
          <w:rFonts w:ascii="Times New Roman" w:hAnsi="Times New Roman" w:cs="Times New Roman"/>
          <w:sz w:val="24"/>
          <w:szCs w:val="24"/>
        </w:rPr>
        <w:t>auxquels elles sont exposées ».</w:t>
      </w:r>
    </w:p>
    <w:p w14:paraId="500ABE74" w14:textId="77777777" w:rsidR="000F3D86" w:rsidRPr="004A6E37" w:rsidRDefault="00F466DA" w:rsidP="001F564C">
      <w:pPr>
        <w:pStyle w:val="Titre3"/>
        <w:numPr>
          <w:ilvl w:val="0"/>
          <w:numId w:val="0"/>
        </w:numPr>
        <w:ind w:left="720" w:hanging="720"/>
        <w:rPr>
          <w:sz w:val="24"/>
          <w:szCs w:val="24"/>
        </w:rPr>
      </w:pPr>
      <w:bookmarkStart w:id="29" w:name="_Toc118293966"/>
      <w:bookmarkStart w:id="30" w:name="_Toc126251873"/>
      <w:r w:rsidRPr="004A6E37">
        <w:rPr>
          <w:sz w:val="24"/>
          <w:szCs w:val="24"/>
        </w:rPr>
        <w:t>4</w:t>
      </w:r>
      <w:r w:rsidR="000F3D86" w:rsidRPr="004A6E37">
        <w:rPr>
          <w:sz w:val="24"/>
          <w:szCs w:val="24"/>
        </w:rPr>
        <w:t>.2. Obligations de vigilance à l’égard de la Clientèle :</w:t>
      </w:r>
      <w:bookmarkEnd w:id="29"/>
      <w:bookmarkEnd w:id="30"/>
      <w:r w:rsidR="000F3D86" w:rsidRPr="004A6E37">
        <w:rPr>
          <w:sz w:val="24"/>
          <w:szCs w:val="24"/>
        </w:rPr>
        <w:t xml:space="preserve"> </w:t>
      </w:r>
    </w:p>
    <w:p w14:paraId="47393CBC" w14:textId="77777777" w:rsidR="000F3D86" w:rsidRPr="004A6E37" w:rsidRDefault="00F466DA" w:rsidP="00F466DA">
      <w:pPr>
        <w:pStyle w:val="Titre3"/>
        <w:numPr>
          <w:ilvl w:val="0"/>
          <w:numId w:val="0"/>
        </w:numPr>
        <w:spacing w:before="120" w:after="120"/>
        <w:ind w:left="720" w:hanging="360"/>
        <w:rPr>
          <w:sz w:val="24"/>
          <w:szCs w:val="24"/>
        </w:rPr>
      </w:pPr>
      <w:bookmarkStart w:id="31" w:name="_Toc118293967"/>
      <w:bookmarkStart w:id="32" w:name="_Toc126251874"/>
      <w:bookmarkStart w:id="33" w:name="_Toc112857559"/>
      <w:r w:rsidRPr="004A6E37">
        <w:rPr>
          <w:sz w:val="24"/>
          <w:szCs w:val="24"/>
        </w:rPr>
        <w:t>4</w:t>
      </w:r>
      <w:r w:rsidR="000F3D86" w:rsidRPr="004A6E37">
        <w:rPr>
          <w:sz w:val="24"/>
          <w:szCs w:val="24"/>
        </w:rPr>
        <w:t>.2.1. Obligations de vigilance constante</w:t>
      </w:r>
      <w:bookmarkEnd w:id="31"/>
      <w:bookmarkEnd w:id="32"/>
      <w:r w:rsidR="000F3D86" w:rsidRPr="004A6E37">
        <w:rPr>
          <w:sz w:val="24"/>
          <w:szCs w:val="24"/>
        </w:rPr>
        <w:t> </w:t>
      </w:r>
      <w:bookmarkEnd w:id="33"/>
      <w:r w:rsidR="000F3D86" w:rsidRPr="004A6E37">
        <w:rPr>
          <w:sz w:val="24"/>
          <w:szCs w:val="24"/>
        </w:rPr>
        <w:t xml:space="preserve"> </w:t>
      </w:r>
    </w:p>
    <w:p w14:paraId="79DBD4E8" w14:textId="77777777" w:rsidR="000F3D86" w:rsidRPr="004A6E37" w:rsidRDefault="000F3D86" w:rsidP="000B04D7">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Au</w:t>
      </w:r>
      <w:r w:rsidR="00F466DA" w:rsidRPr="004A6E37">
        <w:rPr>
          <w:rFonts w:ascii="Times New Roman" w:hAnsi="Times New Roman" w:cs="Times New Roman"/>
          <w:sz w:val="24"/>
          <w:szCs w:val="24"/>
        </w:rPr>
        <w:t>x</w:t>
      </w:r>
      <w:r w:rsidRPr="004A6E37">
        <w:rPr>
          <w:rFonts w:ascii="Times New Roman" w:hAnsi="Times New Roman" w:cs="Times New Roman"/>
          <w:sz w:val="24"/>
          <w:szCs w:val="24"/>
        </w:rPr>
        <w:t xml:space="preserve"> terme</w:t>
      </w:r>
      <w:r w:rsidR="00F466DA" w:rsidRPr="004A6E37">
        <w:rPr>
          <w:rFonts w:ascii="Times New Roman" w:hAnsi="Times New Roman" w:cs="Times New Roman"/>
          <w:sz w:val="24"/>
          <w:szCs w:val="24"/>
        </w:rPr>
        <w:t>s</w:t>
      </w:r>
      <w:r w:rsidRPr="004A6E37">
        <w:rPr>
          <w:rFonts w:ascii="Times New Roman" w:hAnsi="Times New Roman" w:cs="Times New Roman"/>
          <w:sz w:val="24"/>
          <w:szCs w:val="24"/>
        </w:rPr>
        <w:t xml:space="preserve"> de l’article 18 de la loi n°2016-008 du 17 Mars 2016, les </w:t>
      </w:r>
      <w:r w:rsidR="009E47FE" w:rsidRPr="004A6E37">
        <w:rPr>
          <w:rFonts w:ascii="Times New Roman" w:hAnsi="Times New Roman" w:cs="Times New Roman"/>
          <w:sz w:val="24"/>
          <w:szCs w:val="24"/>
        </w:rPr>
        <w:t>personnes morales</w:t>
      </w:r>
      <w:r w:rsidRPr="004A6E37">
        <w:rPr>
          <w:rFonts w:ascii="Times New Roman" w:hAnsi="Times New Roman" w:cs="Times New Roman"/>
          <w:sz w:val="24"/>
          <w:szCs w:val="24"/>
        </w:rPr>
        <w:t xml:space="preserve"> assujetti</w:t>
      </w:r>
      <w:r w:rsidR="009E47FE" w:rsidRPr="004A6E37">
        <w:rPr>
          <w:rFonts w:ascii="Times New Roman" w:hAnsi="Times New Roman" w:cs="Times New Roman"/>
          <w:sz w:val="24"/>
          <w:szCs w:val="24"/>
        </w:rPr>
        <w:t>e</w:t>
      </w:r>
      <w:r w:rsidRPr="004A6E37">
        <w:rPr>
          <w:rFonts w:ascii="Times New Roman" w:hAnsi="Times New Roman" w:cs="Times New Roman"/>
          <w:sz w:val="24"/>
          <w:szCs w:val="24"/>
        </w:rPr>
        <w:t xml:space="preserve">s doivent : </w:t>
      </w:r>
    </w:p>
    <w:p w14:paraId="0183B59B" w14:textId="77777777" w:rsidR="000F3D86"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identifier le client et le cas échéant le bénéficiaire effectif avant d’entrer en relation d’affaires par les moyens adaptés et vérifier ces éléments d’identification sur présentation de tout document écrit et fiable ;</w:t>
      </w:r>
    </w:p>
    <w:p w14:paraId="34DAAF63" w14:textId="77777777" w:rsidR="000F3D86"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identifier les clients occasionnels et le cas échéant le </w:t>
      </w:r>
      <w:r w:rsidR="00E345C3" w:rsidRPr="004A6E37">
        <w:rPr>
          <w:rFonts w:ascii="Times New Roman" w:hAnsi="Times New Roman" w:cs="Times New Roman"/>
          <w:sz w:val="24"/>
          <w:szCs w:val="24"/>
        </w:rPr>
        <w:t>bénéficiaire effectif lorsqu’elle</w:t>
      </w:r>
      <w:r w:rsidRPr="004A6E37">
        <w:rPr>
          <w:rFonts w:ascii="Times New Roman" w:hAnsi="Times New Roman" w:cs="Times New Roman"/>
          <w:sz w:val="24"/>
          <w:szCs w:val="24"/>
        </w:rPr>
        <w:t>s soupçonnent que, l’opération</w:t>
      </w:r>
      <w:r w:rsidR="006025BF" w:rsidRPr="004A6E37">
        <w:rPr>
          <w:rFonts w:ascii="Times New Roman" w:hAnsi="Times New Roman" w:cs="Times New Roman"/>
          <w:sz w:val="24"/>
          <w:szCs w:val="24"/>
        </w:rPr>
        <w:t xml:space="preserve"> pourrait participer au BC/FT</w:t>
      </w:r>
      <w:r w:rsidRPr="004A6E37">
        <w:rPr>
          <w:rFonts w:ascii="Times New Roman" w:hAnsi="Times New Roman" w:cs="Times New Roman"/>
          <w:sz w:val="24"/>
          <w:szCs w:val="24"/>
        </w:rPr>
        <w:t>, lorsque les opérations sont d’une certaine nature ou dépassent un certain montant ;</w:t>
      </w:r>
    </w:p>
    <w:p w14:paraId="448725A8" w14:textId="77777777" w:rsidR="000B04D7"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recueillir et analyser les éléments d’informations parmi ceux figurant sur la liste dressée par l’autorité de contrôle nécessaire à la connaissance de leur client, l’objet et la nature de la relation d’affaire</w:t>
      </w:r>
      <w:r w:rsidR="00F205BD" w:rsidRPr="004A6E37">
        <w:rPr>
          <w:rFonts w:ascii="Times New Roman" w:hAnsi="Times New Roman" w:cs="Times New Roman"/>
          <w:sz w:val="24"/>
          <w:szCs w:val="24"/>
        </w:rPr>
        <w:t>s</w:t>
      </w:r>
      <w:r w:rsidRPr="004A6E37">
        <w:rPr>
          <w:rFonts w:ascii="Times New Roman" w:hAnsi="Times New Roman" w:cs="Times New Roman"/>
          <w:sz w:val="24"/>
          <w:szCs w:val="24"/>
        </w:rPr>
        <w:t xml:space="preserve"> pour évaluer le risque BC/FT (article 19 alinéa 1 de la loi de LBC/FT) ;</w:t>
      </w:r>
    </w:p>
    <w:p w14:paraId="0FBC8852" w14:textId="77777777" w:rsidR="000B04D7"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recueillir, mettre à jour et analyser les éléments d’information sur la liste dressée par l’autorité compétente qui permettent de favoriser une connaissance appropriée de leur client. La collecte et la conservation de ces informations doivent être réalisées en adéquation avec les risques évalués et des mesures de surveillance ;</w:t>
      </w:r>
    </w:p>
    <w:p w14:paraId="4EC66B55" w14:textId="77777777" w:rsidR="000B04D7"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exercer une vigilance const</w:t>
      </w:r>
      <w:r w:rsidR="00C2732A" w:rsidRPr="004A6E37">
        <w:rPr>
          <w:rFonts w:ascii="Times New Roman" w:hAnsi="Times New Roman" w:cs="Times New Roman"/>
          <w:sz w:val="24"/>
          <w:szCs w:val="24"/>
        </w:rPr>
        <w:t>ante concernant toute relation</w:t>
      </w:r>
      <w:r w:rsidRPr="004A6E37">
        <w:rPr>
          <w:rFonts w:ascii="Times New Roman" w:hAnsi="Times New Roman" w:cs="Times New Roman"/>
          <w:sz w:val="24"/>
          <w:szCs w:val="24"/>
        </w:rPr>
        <w:t xml:space="preserve"> d’affaires et examiner attentivement les opérations effectives en vue d’assurer qu’elles sont conformes à ce qu’elles savent sur leurs clients, leurs activités commerciales, leurs profils de risque et la source de leurs fonds (article20 ) ;</w:t>
      </w:r>
    </w:p>
    <w:p w14:paraId="2D1088E7" w14:textId="77777777" w:rsidR="000B04D7"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prendre des dispositions particulières et suffisantes </w:t>
      </w:r>
      <w:r w:rsidR="00945448" w:rsidRPr="004A6E37">
        <w:rPr>
          <w:rFonts w:ascii="Times New Roman" w:hAnsi="Times New Roman" w:cs="Times New Roman"/>
          <w:sz w:val="24"/>
          <w:szCs w:val="24"/>
        </w:rPr>
        <w:t>pour prévenir le BC/FT lorsqu’elle</w:t>
      </w:r>
      <w:r w:rsidRPr="004A6E37">
        <w:rPr>
          <w:rFonts w:ascii="Times New Roman" w:hAnsi="Times New Roman" w:cs="Times New Roman"/>
          <w:sz w:val="24"/>
          <w:szCs w:val="24"/>
        </w:rPr>
        <w:t>s entretien</w:t>
      </w:r>
      <w:r w:rsidR="0077300C" w:rsidRPr="004A6E37">
        <w:rPr>
          <w:rFonts w:ascii="Times New Roman" w:hAnsi="Times New Roman" w:cs="Times New Roman"/>
          <w:sz w:val="24"/>
          <w:szCs w:val="24"/>
        </w:rPr>
        <w:t>nent des relations d’affaires ou</w:t>
      </w:r>
      <w:r w:rsidRPr="004A6E37">
        <w:rPr>
          <w:rFonts w:ascii="Times New Roman" w:hAnsi="Times New Roman" w:cs="Times New Roman"/>
          <w:sz w:val="24"/>
          <w:szCs w:val="24"/>
        </w:rPr>
        <w:t xml:space="preserve"> exécutent des opérations avec un client qui n’est pas physiquement pr</w:t>
      </w:r>
      <w:r w:rsidR="0077300C" w:rsidRPr="004A6E37">
        <w:rPr>
          <w:rFonts w:ascii="Times New Roman" w:hAnsi="Times New Roman" w:cs="Times New Roman"/>
          <w:sz w:val="24"/>
          <w:szCs w:val="24"/>
        </w:rPr>
        <w:t>ésent aux fins d’identification</w:t>
      </w:r>
      <w:r w:rsidRPr="004A6E37">
        <w:rPr>
          <w:rFonts w:ascii="Times New Roman" w:hAnsi="Times New Roman" w:cs="Times New Roman"/>
          <w:sz w:val="24"/>
          <w:szCs w:val="24"/>
        </w:rPr>
        <w:t xml:space="preserve"> (article 21) ;</w:t>
      </w:r>
    </w:p>
    <w:p w14:paraId="6E60C468" w14:textId="77777777" w:rsidR="000F3D86" w:rsidRPr="004A6E37" w:rsidRDefault="000F3D86" w:rsidP="00920BFE">
      <w:pPr>
        <w:pStyle w:val="Paragraphedeliste"/>
        <w:numPr>
          <w:ilvl w:val="0"/>
          <w:numId w:val="9"/>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disposer de système de gestion des risques adéquats afin de déterminer si le client est une personne politiquement exposé</w:t>
      </w:r>
      <w:r w:rsidR="0077300C" w:rsidRPr="004A6E37">
        <w:rPr>
          <w:rFonts w:ascii="Times New Roman" w:hAnsi="Times New Roman" w:cs="Times New Roman"/>
          <w:sz w:val="24"/>
          <w:szCs w:val="24"/>
        </w:rPr>
        <w:t>e</w:t>
      </w:r>
      <w:r w:rsidRPr="004A6E37">
        <w:rPr>
          <w:rFonts w:ascii="Times New Roman" w:hAnsi="Times New Roman" w:cs="Times New Roman"/>
          <w:sz w:val="24"/>
          <w:szCs w:val="24"/>
        </w:rPr>
        <w:t xml:space="preserve"> et dans le cas échéant mettre en œuvre des mesures spécifiques visées à l’article 54 (article 22). </w:t>
      </w:r>
      <w:r w:rsidRPr="004A6E37">
        <w:rPr>
          <w:rFonts w:ascii="Times New Roman" w:hAnsi="Times New Roman" w:cs="Times New Roman"/>
          <w:sz w:val="26"/>
          <w:szCs w:val="26"/>
        </w:rPr>
        <w:t xml:space="preserve"> </w:t>
      </w:r>
    </w:p>
    <w:p w14:paraId="115BB65B" w14:textId="77777777" w:rsidR="000F3D86" w:rsidRPr="004A6E37" w:rsidRDefault="009E47FE" w:rsidP="009E47FE">
      <w:pPr>
        <w:pStyle w:val="Titre3"/>
        <w:keepNext/>
        <w:keepLines/>
        <w:numPr>
          <w:ilvl w:val="0"/>
          <w:numId w:val="0"/>
        </w:numPr>
        <w:spacing w:before="40" w:beforeAutospacing="0" w:after="0" w:afterAutospacing="0" w:line="259" w:lineRule="auto"/>
        <w:ind w:firstLine="708"/>
        <w:rPr>
          <w:rFonts w:eastAsiaTheme="minorHAnsi"/>
          <w:bCs w:val="0"/>
          <w:sz w:val="24"/>
          <w:szCs w:val="24"/>
          <w:lang w:eastAsia="en-US"/>
        </w:rPr>
      </w:pPr>
      <w:bookmarkStart w:id="34" w:name="_Toc112857560"/>
      <w:bookmarkStart w:id="35" w:name="_Toc118293968"/>
      <w:bookmarkStart w:id="36" w:name="_Toc126251875"/>
      <w:r w:rsidRPr="004A6E37">
        <w:rPr>
          <w:rFonts w:eastAsiaTheme="minorHAnsi"/>
          <w:bCs w:val="0"/>
          <w:sz w:val="24"/>
          <w:szCs w:val="24"/>
          <w:lang w:eastAsia="en-US"/>
        </w:rPr>
        <w:t xml:space="preserve">4.2.2. </w:t>
      </w:r>
      <w:r w:rsidR="000F3D86" w:rsidRPr="004A6E37">
        <w:rPr>
          <w:rFonts w:eastAsiaTheme="minorHAnsi"/>
          <w:bCs w:val="0"/>
          <w:sz w:val="24"/>
          <w:szCs w:val="24"/>
          <w:lang w:eastAsia="en-US"/>
        </w:rPr>
        <w:t>Obligations de vigilance simplifiée</w:t>
      </w:r>
      <w:bookmarkEnd w:id="34"/>
      <w:bookmarkEnd w:id="35"/>
      <w:bookmarkEnd w:id="36"/>
      <w:r w:rsidR="000F3D86" w:rsidRPr="004A6E37">
        <w:rPr>
          <w:rFonts w:eastAsiaTheme="minorHAnsi"/>
          <w:bCs w:val="0"/>
          <w:sz w:val="24"/>
          <w:szCs w:val="24"/>
          <w:lang w:eastAsia="en-US"/>
        </w:rPr>
        <w:t> </w:t>
      </w:r>
    </w:p>
    <w:p w14:paraId="066F7C2E" w14:textId="77777777" w:rsidR="000F3D86" w:rsidRPr="004A6E37" w:rsidRDefault="000F3D86" w:rsidP="00B227D5">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En exécution de l’article</w:t>
      </w:r>
      <w:r w:rsidR="00B227D5" w:rsidRPr="004A6E37">
        <w:rPr>
          <w:rFonts w:ascii="Times New Roman" w:hAnsi="Times New Roman" w:cs="Times New Roman"/>
          <w:sz w:val="24"/>
          <w:szCs w:val="24"/>
        </w:rPr>
        <w:t xml:space="preserve"> </w:t>
      </w:r>
      <w:r w:rsidRPr="004A6E37">
        <w:rPr>
          <w:rFonts w:ascii="Times New Roman" w:hAnsi="Times New Roman" w:cs="Times New Roman"/>
          <w:sz w:val="24"/>
          <w:szCs w:val="24"/>
        </w:rPr>
        <w:t>18, aliéna 3 de la loi LBC/FT, lorsque le risque BC/FT est faible, il peut être procédé, uniquement pendant l’établiss</w:t>
      </w:r>
      <w:r w:rsidR="00B227D5" w:rsidRPr="004A6E37">
        <w:rPr>
          <w:rFonts w:ascii="Times New Roman" w:hAnsi="Times New Roman" w:cs="Times New Roman"/>
          <w:sz w:val="24"/>
          <w:szCs w:val="24"/>
        </w:rPr>
        <w:t>ement de la relation d’affaires</w:t>
      </w:r>
      <w:r w:rsidRPr="004A6E37">
        <w:rPr>
          <w:rFonts w:ascii="Times New Roman" w:hAnsi="Times New Roman" w:cs="Times New Roman"/>
          <w:sz w:val="24"/>
          <w:szCs w:val="24"/>
        </w:rPr>
        <w:t xml:space="preserve"> à la vérification de l</w:t>
      </w:r>
      <w:r w:rsidR="009E47FE" w:rsidRPr="004A6E37">
        <w:rPr>
          <w:rFonts w:ascii="Times New Roman" w:hAnsi="Times New Roman" w:cs="Times New Roman"/>
          <w:sz w:val="24"/>
          <w:szCs w:val="24"/>
        </w:rPr>
        <w:t xml:space="preserve">’identité du client.  </w:t>
      </w:r>
    </w:p>
    <w:p w14:paraId="7DFBB03F" w14:textId="77777777" w:rsidR="000F3D86" w:rsidRPr="004A6E37" w:rsidRDefault="009E47FE" w:rsidP="009E47FE">
      <w:pPr>
        <w:pStyle w:val="Titre3"/>
        <w:keepNext/>
        <w:keepLines/>
        <w:numPr>
          <w:ilvl w:val="0"/>
          <w:numId w:val="0"/>
        </w:numPr>
        <w:spacing w:before="40" w:beforeAutospacing="0" w:after="0" w:afterAutospacing="0" w:line="259" w:lineRule="auto"/>
        <w:ind w:left="720" w:hanging="12"/>
        <w:rPr>
          <w:rFonts w:eastAsiaTheme="minorHAnsi"/>
          <w:bCs w:val="0"/>
          <w:sz w:val="24"/>
          <w:szCs w:val="24"/>
          <w:lang w:eastAsia="en-US"/>
        </w:rPr>
      </w:pPr>
      <w:bookmarkStart w:id="37" w:name="_Toc126251876"/>
      <w:r w:rsidRPr="004A6E37">
        <w:rPr>
          <w:rFonts w:eastAsiaTheme="minorHAnsi"/>
          <w:bCs w:val="0"/>
          <w:sz w:val="24"/>
          <w:szCs w:val="24"/>
          <w:lang w:eastAsia="en-US"/>
        </w:rPr>
        <w:t>4.2.3.</w:t>
      </w:r>
      <w:r w:rsidR="000F3D86" w:rsidRPr="004A6E37">
        <w:rPr>
          <w:rFonts w:eastAsiaTheme="minorHAnsi"/>
          <w:bCs w:val="0"/>
          <w:sz w:val="24"/>
          <w:szCs w:val="24"/>
          <w:lang w:eastAsia="en-US"/>
        </w:rPr>
        <w:t xml:space="preserve"> </w:t>
      </w:r>
      <w:bookmarkStart w:id="38" w:name="_Toc112857561"/>
      <w:r w:rsidR="000F3D86" w:rsidRPr="004A6E37">
        <w:rPr>
          <w:rFonts w:eastAsiaTheme="minorHAnsi"/>
          <w:bCs w:val="0"/>
          <w:sz w:val="24"/>
          <w:szCs w:val="24"/>
          <w:lang w:eastAsia="en-US"/>
        </w:rPr>
        <w:t xml:space="preserve"> </w:t>
      </w:r>
      <w:bookmarkStart w:id="39" w:name="_Toc118293969"/>
      <w:r w:rsidR="000F3D86" w:rsidRPr="004A6E37">
        <w:rPr>
          <w:rFonts w:eastAsiaTheme="minorHAnsi"/>
          <w:bCs w:val="0"/>
          <w:sz w:val="24"/>
          <w:szCs w:val="24"/>
          <w:lang w:eastAsia="en-US"/>
        </w:rPr>
        <w:t>Obligations de vigilance renforcée</w:t>
      </w:r>
      <w:bookmarkEnd w:id="37"/>
      <w:bookmarkEnd w:id="38"/>
      <w:bookmarkEnd w:id="39"/>
      <w:r w:rsidR="000F3D86" w:rsidRPr="004A6E37">
        <w:rPr>
          <w:rFonts w:eastAsiaTheme="minorHAnsi"/>
          <w:bCs w:val="0"/>
          <w:sz w:val="24"/>
          <w:szCs w:val="24"/>
          <w:lang w:eastAsia="en-US"/>
        </w:rPr>
        <w:t> </w:t>
      </w:r>
    </w:p>
    <w:p w14:paraId="3BA5624A" w14:textId="77777777" w:rsidR="000F3D86" w:rsidRPr="004A6E37" w:rsidRDefault="000F3D86" w:rsidP="009570BD">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obligations de vigilance renforcée en matière de LBC/FT incombent aux </w:t>
      </w:r>
      <w:r w:rsidR="009E47FE" w:rsidRPr="004A6E37">
        <w:rPr>
          <w:rFonts w:ascii="Times New Roman" w:hAnsi="Times New Roman" w:cs="Times New Roman"/>
          <w:sz w:val="24"/>
          <w:szCs w:val="24"/>
        </w:rPr>
        <w:t>personnes morales</w:t>
      </w:r>
      <w:r w:rsidRPr="004A6E37">
        <w:rPr>
          <w:rFonts w:ascii="Times New Roman" w:hAnsi="Times New Roman" w:cs="Times New Roman"/>
          <w:sz w:val="24"/>
          <w:szCs w:val="24"/>
        </w:rPr>
        <w:t xml:space="preserve"> assujetti</w:t>
      </w:r>
      <w:r w:rsidR="009E47FE" w:rsidRPr="004A6E37">
        <w:rPr>
          <w:rFonts w:ascii="Times New Roman" w:hAnsi="Times New Roman" w:cs="Times New Roman"/>
          <w:sz w:val="24"/>
          <w:szCs w:val="24"/>
        </w:rPr>
        <w:t>e</w:t>
      </w:r>
      <w:r w:rsidRPr="004A6E37">
        <w:rPr>
          <w:rFonts w:ascii="Times New Roman" w:hAnsi="Times New Roman" w:cs="Times New Roman"/>
          <w:sz w:val="24"/>
          <w:szCs w:val="24"/>
        </w:rPr>
        <w:t>s conformément aux dispositions de l’article 51 de la loi</w:t>
      </w:r>
      <w:r w:rsidR="009570BD" w:rsidRPr="004A6E37">
        <w:rPr>
          <w:rFonts w:ascii="Times New Roman" w:hAnsi="Times New Roman" w:cs="Times New Roman"/>
          <w:sz w:val="24"/>
          <w:szCs w:val="24"/>
        </w:rPr>
        <w:t xml:space="preserve"> LBC/FT</w:t>
      </w:r>
      <w:r w:rsidRPr="004A6E37">
        <w:rPr>
          <w:rFonts w:ascii="Times New Roman" w:hAnsi="Times New Roman" w:cs="Times New Roman"/>
          <w:sz w:val="24"/>
          <w:szCs w:val="24"/>
        </w:rPr>
        <w:t>.</w:t>
      </w:r>
    </w:p>
    <w:p w14:paraId="52B87F08" w14:textId="77777777" w:rsidR="000F3D86" w:rsidRPr="004A6E37" w:rsidRDefault="00746854" w:rsidP="009570BD">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Elle </w:t>
      </w:r>
      <w:r w:rsidR="000F3D86" w:rsidRPr="004A6E37">
        <w:rPr>
          <w:rFonts w:ascii="Times New Roman" w:hAnsi="Times New Roman" w:cs="Times New Roman"/>
          <w:sz w:val="24"/>
          <w:szCs w:val="24"/>
        </w:rPr>
        <w:t xml:space="preserve">effectue un examen renforcé de toute opération particulière complexe ou d’un montant inhabituellement élevé ou ne paraissant pas avoir de justification économique ou d’objet licite. </w:t>
      </w:r>
    </w:p>
    <w:p w14:paraId="0AEE410F" w14:textId="77777777" w:rsidR="000F3D86" w:rsidRPr="004A6E37" w:rsidRDefault="009E47FE" w:rsidP="00746854">
      <w:pPr>
        <w:pStyle w:val="Titre3"/>
        <w:keepNext/>
        <w:keepLines/>
        <w:numPr>
          <w:ilvl w:val="0"/>
          <w:numId w:val="0"/>
        </w:numPr>
        <w:spacing w:before="40" w:beforeAutospacing="0" w:after="0" w:afterAutospacing="0" w:line="360" w:lineRule="auto"/>
        <w:ind w:left="720"/>
        <w:jc w:val="both"/>
        <w:rPr>
          <w:rFonts w:eastAsiaTheme="minorHAnsi"/>
          <w:bCs w:val="0"/>
          <w:sz w:val="24"/>
          <w:szCs w:val="24"/>
          <w:lang w:eastAsia="en-US"/>
        </w:rPr>
      </w:pPr>
      <w:bookmarkStart w:id="40" w:name="_Toc118293970"/>
      <w:bookmarkStart w:id="41" w:name="_Toc126251877"/>
      <w:r w:rsidRPr="004A6E37">
        <w:rPr>
          <w:rFonts w:eastAsiaTheme="minorHAnsi"/>
          <w:bCs w:val="0"/>
          <w:sz w:val="24"/>
          <w:szCs w:val="24"/>
          <w:lang w:eastAsia="en-US"/>
        </w:rPr>
        <w:t xml:space="preserve">4.2.4. </w:t>
      </w:r>
      <w:r w:rsidR="000F3D86" w:rsidRPr="004A6E37">
        <w:rPr>
          <w:rFonts w:eastAsiaTheme="minorHAnsi"/>
          <w:bCs w:val="0"/>
          <w:sz w:val="24"/>
          <w:szCs w:val="24"/>
          <w:lang w:eastAsia="en-US"/>
        </w:rPr>
        <w:t>Obligations d’appliquer les sanctions financières ciblées des NU et les décisions de gel administratif de l’autorité compétente :</w:t>
      </w:r>
      <w:bookmarkEnd w:id="40"/>
      <w:bookmarkEnd w:id="41"/>
      <w:r w:rsidR="000F3D86" w:rsidRPr="004A6E37">
        <w:rPr>
          <w:rFonts w:eastAsiaTheme="minorHAnsi"/>
          <w:bCs w:val="0"/>
          <w:sz w:val="24"/>
          <w:szCs w:val="24"/>
          <w:lang w:eastAsia="en-US"/>
        </w:rPr>
        <w:t xml:space="preserve"> </w:t>
      </w:r>
    </w:p>
    <w:p w14:paraId="7142862E" w14:textId="77777777" w:rsidR="000F3D86" w:rsidRPr="004A6E37" w:rsidRDefault="000F3D86" w:rsidP="00746854">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w:t>
      </w:r>
      <w:r w:rsidR="009E47FE" w:rsidRPr="004A6E37">
        <w:rPr>
          <w:rFonts w:ascii="Times New Roman" w:hAnsi="Times New Roman" w:cs="Times New Roman"/>
          <w:sz w:val="24"/>
          <w:szCs w:val="24"/>
        </w:rPr>
        <w:t>personnes morales</w:t>
      </w:r>
      <w:r w:rsidRPr="004A6E37">
        <w:rPr>
          <w:rFonts w:ascii="Times New Roman" w:hAnsi="Times New Roman" w:cs="Times New Roman"/>
          <w:sz w:val="24"/>
          <w:szCs w:val="24"/>
        </w:rPr>
        <w:t xml:space="preserve"> assujetti</w:t>
      </w:r>
      <w:r w:rsidR="009E47FE" w:rsidRPr="004A6E37">
        <w:rPr>
          <w:rFonts w:ascii="Times New Roman" w:hAnsi="Times New Roman" w:cs="Times New Roman"/>
          <w:sz w:val="24"/>
          <w:szCs w:val="24"/>
        </w:rPr>
        <w:t>e</w:t>
      </w:r>
      <w:r w:rsidRPr="004A6E37">
        <w:rPr>
          <w:rFonts w:ascii="Times New Roman" w:hAnsi="Times New Roman" w:cs="Times New Roman"/>
          <w:sz w:val="24"/>
          <w:szCs w:val="24"/>
        </w:rPr>
        <w:t xml:space="preserve">s ont l’obligation de mise en œuvre des sanctions financières ciblées en matière de lutte contre le blanchiment de capitaux, le financement du terrorisme </w:t>
      </w:r>
      <w:r w:rsidR="0014626D" w:rsidRPr="004A6E37">
        <w:rPr>
          <w:rFonts w:ascii="Times New Roman" w:hAnsi="Times New Roman" w:cs="Times New Roman"/>
          <w:sz w:val="24"/>
          <w:szCs w:val="24"/>
        </w:rPr>
        <w:t>notamment </w:t>
      </w:r>
      <w:r w:rsidRPr="004A6E37">
        <w:rPr>
          <w:rFonts w:ascii="Times New Roman" w:hAnsi="Times New Roman" w:cs="Times New Roman"/>
          <w:sz w:val="24"/>
          <w:szCs w:val="24"/>
        </w:rPr>
        <w:t>les sanctions financières ciblées liées au terrorisme e</w:t>
      </w:r>
      <w:r w:rsidR="00746854" w:rsidRPr="004A6E37">
        <w:rPr>
          <w:rFonts w:ascii="Times New Roman" w:hAnsi="Times New Roman" w:cs="Times New Roman"/>
          <w:sz w:val="24"/>
          <w:szCs w:val="24"/>
        </w:rPr>
        <w:t>t au financement du terrorisme.</w:t>
      </w:r>
    </w:p>
    <w:p w14:paraId="20229996" w14:textId="77777777" w:rsidR="000F3D86" w:rsidRPr="004A6E37" w:rsidRDefault="009E47FE" w:rsidP="005A52A2">
      <w:pPr>
        <w:pStyle w:val="Titre3"/>
        <w:keepNext/>
        <w:keepLines/>
        <w:numPr>
          <w:ilvl w:val="0"/>
          <w:numId w:val="0"/>
        </w:numPr>
        <w:spacing w:before="40" w:beforeAutospacing="0" w:after="0" w:afterAutospacing="0" w:line="259" w:lineRule="auto"/>
        <w:ind w:left="720" w:hanging="12"/>
        <w:rPr>
          <w:rFonts w:eastAsiaTheme="minorHAnsi"/>
          <w:bCs w:val="0"/>
          <w:sz w:val="24"/>
          <w:szCs w:val="24"/>
          <w:lang w:eastAsia="en-US"/>
        </w:rPr>
      </w:pPr>
      <w:bookmarkStart w:id="42" w:name="_Toc112857562"/>
      <w:bookmarkStart w:id="43" w:name="_Toc118293972"/>
      <w:bookmarkStart w:id="44" w:name="_Toc126251878"/>
      <w:r w:rsidRPr="004A6E37">
        <w:rPr>
          <w:rFonts w:eastAsiaTheme="minorHAnsi"/>
          <w:bCs w:val="0"/>
          <w:sz w:val="24"/>
          <w:szCs w:val="24"/>
          <w:lang w:eastAsia="en-US"/>
        </w:rPr>
        <w:t xml:space="preserve">4.2.5. </w:t>
      </w:r>
      <w:r w:rsidR="000F3D86" w:rsidRPr="004A6E37">
        <w:rPr>
          <w:rFonts w:eastAsiaTheme="minorHAnsi"/>
          <w:bCs w:val="0"/>
          <w:sz w:val="24"/>
          <w:szCs w:val="24"/>
          <w:lang w:eastAsia="en-US"/>
        </w:rPr>
        <w:t>Obligation de désigner un déclarant et/ou correspondant à la CENTIF</w:t>
      </w:r>
      <w:bookmarkEnd w:id="42"/>
      <w:bookmarkEnd w:id="43"/>
      <w:bookmarkEnd w:id="44"/>
      <w:r w:rsidR="000F3D86" w:rsidRPr="004A6E37">
        <w:rPr>
          <w:rFonts w:eastAsiaTheme="minorHAnsi"/>
          <w:bCs w:val="0"/>
          <w:sz w:val="24"/>
          <w:szCs w:val="24"/>
          <w:lang w:eastAsia="en-US"/>
        </w:rPr>
        <w:t> </w:t>
      </w:r>
    </w:p>
    <w:p w14:paraId="6A6AC12B" w14:textId="77777777" w:rsidR="000F3D86" w:rsidRPr="004A6E37" w:rsidRDefault="000F3D86" w:rsidP="00BF0489">
      <w:pPr>
        <w:spacing w:before="120"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Chaque </w:t>
      </w:r>
      <w:r w:rsidR="009E47FE" w:rsidRPr="004A6E37">
        <w:rPr>
          <w:rFonts w:ascii="Times New Roman" w:hAnsi="Times New Roman" w:cs="Times New Roman"/>
          <w:sz w:val="24"/>
          <w:szCs w:val="24"/>
        </w:rPr>
        <w:t>personne morale</w:t>
      </w:r>
      <w:r w:rsidRPr="004A6E37">
        <w:rPr>
          <w:rFonts w:ascii="Times New Roman" w:hAnsi="Times New Roman" w:cs="Times New Roman"/>
          <w:sz w:val="24"/>
          <w:szCs w:val="24"/>
        </w:rPr>
        <w:t xml:space="preserve"> assujetti</w:t>
      </w:r>
      <w:r w:rsidR="009E47FE" w:rsidRPr="004A6E37">
        <w:rPr>
          <w:rFonts w:ascii="Times New Roman" w:hAnsi="Times New Roman" w:cs="Times New Roman"/>
          <w:sz w:val="24"/>
          <w:szCs w:val="24"/>
        </w:rPr>
        <w:t>e</w:t>
      </w:r>
      <w:r w:rsidRPr="004A6E37">
        <w:rPr>
          <w:rFonts w:ascii="Times New Roman" w:hAnsi="Times New Roman" w:cs="Times New Roman"/>
          <w:sz w:val="24"/>
          <w:szCs w:val="24"/>
        </w:rPr>
        <w:t xml:space="preserve"> doit désigner un déclarant ou un correspondant au sein de sa structure qui s’occupe des relations avec la CENTIF, de l’élaboration des déclarations des opérations suspectes, des déclarations en espèces atteignant le seuil fixé par la BCEAO et toutes autres informations sollicitées. </w:t>
      </w:r>
    </w:p>
    <w:p w14:paraId="1C8178DF" w14:textId="77777777" w:rsidR="000F3D86" w:rsidRPr="004A6E37" w:rsidRDefault="00A229CF" w:rsidP="00A229CF">
      <w:pPr>
        <w:pStyle w:val="Titre3"/>
        <w:keepNext/>
        <w:keepLines/>
        <w:numPr>
          <w:ilvl w:val="0"/>
          <w:numId w:val="0"/>
        </w:numPr>
        <w:spacing w:before="40" w:beforeAutospacing="0" w:after="0" w:afterAutospacing="0" w:line="259" w:lineRule="auto"/>
        <w:rPr>
          <w:rFonts w:eastAsiaTheme="minorHAnsi"/>
          <w:bCs w:val="0"/>
          <w:sz w:val="24"/>
          <w:szCs w:val="24"/>
          <w:lang w:eastAsia="en-US"/>
        </w:rPr>
      </w:pPr>
      <w:bookmarkStart w:id="45" w:name="_Toc112857563"/>
      <w:bookmarkStart w:id="46" w:name="_Toc118293973"/>
      <w:r w:rsidRPr="004A6E37">
        <w:rPr>
          <w:rFonts w:eastAsiaTheme="minorHAnsi"/>
          <w:bCs w:val="0"/>
          <w:sz w:val="24"/>
          <w:szCs w:val="24"/>
          <w:lang w:eastAsia="en-US"/>
        </w:rPr>
        <w:t xml:space="preserve">     </w:t>
      </w:r>
      <w:bookmarkStart w:id="47" w:name="_Toc126251879"/>
      <w:r w:rsidR="009E47FE" w:rsidRPr="004A6E37">
        <w:rPr>
          <w:rFonts w:eastAsiaTheme="minorHAnsi"/>
          <w:bCs w:val="0"/>
          <w:sz w:val="24"/>
          <w:szCs w:val="24"/>
          <w:lang w:eastAsia="en-US"/>
        </w:rPr>
        <w:t xml:space="preserve">4.2.6. </w:t>
      </w:r>
      <w:r w:rsidR="000F3D86" w:rsidRPr="004A6E37">
        <w:rPr>
          <w:rFonts w:eastAsiaTheme="minorHAnsi"/>
          <w:bCs w:val="0"/>
          <w:sz w:val="24"/>
          <w:szCs w:val="24"/>
          <w:lang w:eastAsia="en-US"/>
        </w:rPr>
        <w:t>Obligations de déclaration d’opérations suspectes</w:t>
      </w:r>
      <w:bookmarkEnd w:id="45"/>
      <w:r w:rsidR="000F3D86" w:rsidRPr="004A6E37">
        <w:rPr>
          <w:rFonts w:eastAsiaTheme="minorHAnsi"/>
          <w:bCs w:val="0"/>
          <w:sz w:val="24"/>
          <w:szCs w:val="24"/>
          <w:lang w:eastAsia="en-US"/>
        </w:rPr>
        <w:t> (DOS)</w:t>
      </w:r>
      <w:bookmarkEnd w:id="46"/>
      <w:bookmarkEnd w:id="47"/>
    </w:p>
    <w:p w14:paraId="2E06CC38" w14:textId="77777777" w:rsidR="000F3D86" w:rsidRPr="004A6E37" w:rsidRDefault="000F3D86" w:rsidP="00E61DBD">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Aux termes de l’article 79 de la loi LBC/FT, les </w:t>
      </w:r>
      <w:r w:rsidR="009E47FE" w:rsidRPr="004A6E37">
        <w:rPr>
          <w:rFonts w:ascii="Times New Roman" w:hAnsi="Times New Roman" w:cs="Times New Roman"/>
          <w:sz w:val="24"/>
          <w:szCs w:val="24"/>
        </w:rPr>
        <w:t>personnes</w:t>
      </w:r>
      <w:r w:rsidR="005A52A2" w:rsidRPr="004A6E37">
        <w:rPr>
          <w:rFonts w:ascii="Times New Roman" w:hAnsi="Times New Roman" w:cs="Times New Roman"/>
          <w:sz w:val="24"/>
          <w:szCs w:val="24"/>
        </w:rPr>
        <w:t xml:space="preserve"> morales</w:t>
      </w:r>
      <w:r w:rsidRPr="004A6E37">
        <w:rPr>
          <w:rFonts w:ascii="Times New Roman" w:hAnsi="Times New Roman" w:cs="Times New Roman"/>
          <w:sz w:val="24"/>
          <w:szCs w:val="24"/>
        </w:rPr>
        <w:t xml:space="preserve"> assujetti</w:t>
      </w:r>
      <w:r w:rsidR="009E47FE" w:rsidRPr="004A6E37">
        <w:rPr>
          <w:rFonts w:ascii="Times New Roman" w:hAnsi="Times New Roman" w:cs="Times New Roman"/>
          <w:sz w:val="24"/>
          <w:szCs w:val="24"/>
        </w:rPr>
        <w:t>e</w:t>
      </w:r>
      <w:r w:rsidRPr="004A6E37">
        <w:rPr>
          <w:rFonts w:ascii="Times New Roman" w:hAnsi="Times New Roman" w:cs="Times New Roman"/>
          <w:sz w:val="24"/>
          <w:szCs w:val="24"/>
        </w:rPr>
        <w:t>s sont tenu</w:t>
      </w:r>
      <w:r w:rsidR="00584071" w:rsidRPr="004A6E37">
        <w:rPr>
          <w:rFonts w:ascii="Times New Roman" w:hAnsi="Times New Roman" w:cs="Times New Roman"/>
          <w:sz w:val="24"/>
          <w:szCs w:val="24"/>
        </w:rPr>
        <w:t>e</w:t>
      </w:r>
      <w:r w:rsidR="006D50E1" w:rsidRPr="004A6E37">
        <w:rPr>
          <w:rFonts w:ascii="Times New Roman" w:hAnsi="Times New Roman" w:cs="Times New Roman"/>
          <w:sz w:val="24"/>
          <w:szCs w:val="24"/>
        </w:rPr>
        <w:t>s de déclarer</w:t>
      </w:r>
      <w:r w:rsidRPr="004A6E37">
        <w:rPr>
          <w:rFonts w:ascii="Times New Roman" w:hAnsi="Times New Roman" w:cs="Times New Roman"/>
          <w:sz w:val="24"/>
          <w:szCs w:val="24"/>
        </w:rPr>
        <w:t>:</w:t>
      </w:r>
    </w:p>
    <w:p w14:paraId="55D54594" w14:textId="77777777" w:rsidR="000F3D86" w:rsidRPr="004A6E37" w:rsidRDefault="000F3D86" w:rsidP="00920BFE">
      <w:pPr>
        <w:pStyle w:val="Paragraphedeliste"/>
        <w:numPr>
          <w:ilvl w:val="0"/>
          <w:numId w:val="29"/>
        </w:numPr>
        <w:spacing w:before="120"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sommes inscrites dans leurs livres ou les opérations portant sur les sommes dont </w:t>
      </w:r>
      <w:r w:rsidR="00E61DBD" w:rsidRPr="004A6E37">
        <w:rPr>
          <w:rFonts w:ascii="Times New Roman" w:hAnsi="Times New Roman" w:cs="Times New Roman"/>
          <w:sz w:val="24"/>
          <w:szCs w:val="24"/>
        </w:rPr>
        <w:t>elles</w:t>
      </w:r>
      <w:r w:rsidRPr="004A6E37">
        <w:rPr>
          <w:rFonts w:ascii="Times New Roman" w:hAnsi="Times New Roman" w:cs="Times New Roman"/>
          <w:sz w:val="24"/>
          <w:szCs w:val="24"/>
        </w:rPr>
        <w:t xml:space="preserve"> soupçonnent de provenir d’une infraction de BC/FT. Cette déclaration est élaborée et transmise à la CENTIF suivant le modèle de déclaration fixé par arrêté du ministre chargé des finances;</w:t>
      </w:r>
    </w:p>
    <w:p w14:paraId="71DB124F" w14:textId="77777777" w:rsidR="000F3D86" w:rsidRPr="004A6E37" w:rsidRDefault="000F3D86" w:rsidP="00920BFE">
      <w:pPr>
        <w:pStyle w:val="Paragraphedeliste"/>
        <w:numPr>
          <w:ilvl w:val="0"/>
          <w:numId w:val="29"/>
        </w:numPr>
        <w:spacing w:before="120"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l’opération pour laquelle l’identité du donneur d’ordre ou du bénéficiaire effectif ou du constituant d’un fonds fiduciaire ou de tout autre instrument de gestion d’un patrimoine est d’affectation douteuse.</w:t>
      </w:r>
    </w:p>
    <w:p w14:paraId="7C5A4ED7" w14:textId="77777777" w:rsidR="000F3D86" w:rsidRPr="004A6E37" w:rsidRDefault="00584071" w:rsidP="00A229CF">
      <w:pPr>
        <w:pStyle w:val="Titre3"/>
        <w:keepNext/>
        <w:keepLines/>
        <w:numPr>
          <w:ilvl w:val="0"/>
          <w:numId w:val="0"/>
        </w:numPr>
        <w:spacing w:before="40" w:beforeAutospacing="0" w:after="0" w:afterAutospacing="0" w:line="259" w:lineRule="auto"/>
        <w:ind w:left="372" w:hanging="12"/>
        <w:rPr>
          <w:rFonts w:eastAsiaTheme="minorHAnsi"/>
          <w:bCs w:val="0"/>
          <w:sz w:val="24"/>
          <w:szCs w:val="24"/>
          <w:lang w:eastAsia="en-US"/>
        </w:rPr>
      </w:pPr>
      <w:bookmarkStart w:id="48" w:name="_Toc112857564"/>
      <w:bookmarkStart w:id="49" w:name="_Toc118293974"/>
      <w:bookmarkStart w:id="50" w:name="_Toc126251880"/>
      <w:r w:rsidRPr="004A6E37">
        <w:rPr>
          <w:rFonts w:eastAsiaTheme="minorHAnsi"/>
          <w:bCs w:val="0"/>
          <w:sz w:val="24"/>
          <w:szCs w:val="24"/>
          <w:lang w:eastAsia="en-US"/>
        </w:rPr>
        <w:t xml:space="preserve">4.2.7. </w:t>
      </w:r>
      <w:r w:rsidR="000F3D86" w:rsidRPr="004A6E37">
        <w:rPr>
          <w:rFonts w:eastAsiaTheme="minorHAnsi"/>
          <w:bCs w:val="0"/>
          <w:sz w:val="24"/>
          <w:szCs w:val="24"/>
          <w:lang w:eastAsia="en-US"/>
        </w:rPr>
        <w:t>Obligation de déclaration des transactions en espèces</w:t>
      </w:r>
      <w:bookmarkEnd w:id="48"/>
      <w:bookmarkEnd w:id="49"/>
      <w:bookmarkEnd w:id="50"/>
      <w:r w:rsidR="000F3D86" w:rsidRPr="004A6E37">
        <w:rPr>
          <w:rFonts w:eastAsiaTheme="minorHAnsi"/>
          <w:bCs w:val="0"/>
          <w:sz w:val="24"/>
          <w:szCs w:val="24"/>
          <w:lang w:eastAsia="en-US"/>
        </w:rPr>
        <w:t> </w:t>
      </w:r>
    </w:p>
    <w:p w14:paraId="2F8F8EE9" w14:textId="77777777" w:rsidR="000F3D86" w:rsidRPr="004A6E37" w:rsidRDefault="000F3D86" w:rsidP="00646150">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En application des dispositions de l’article 15 de la loi LBC/FT, les transactions </w:t>
      </w:r>
      <w:r w:rsidR="004441EB" w:rsidRPr="004A6E37">
        <w:rPr>
          <w:rFonts w:ascii="Times New Roman" w:hAnsi="Times New Roman" w:cs="Times New Roman"/>
          <w:sz w:val="24"/>
          <w:szCs w:val="24"/>
        </w:rPr>
        <w:t xml:space="preserve">en espèces </w:t>
      </w:r>
      <w:r w:rsidRPr="004A6E37">
        <w:rPr>
          <w:rFonts w:ascii="Times New Roman" w:hAnsi="Times New Roman" w:cs="Times New Roman"/>
          <w:sz w:val="24"/>
          <w:szCs w:val="24"/>
        </w:rPr>
        <w:t>d’un montant</w:t>
      </w:r>
      <w:r w:rsidR="004441EB" w:rsidRPr="004A6E37">
        <w:rPr>
          <w:rFonts w:ascii="Times New Roman" w:hAnsi="Times New Roman" w:cs="Times New Roman"/>
          <w:sz w:val="24"/>
          <w:szCs w:val="24"/>
        </w:rPr>
        <w:t xml:space="preserve"> </w:t>
      </w:r>
      <w:r w:rsidRPr="004A6E37">
        <w:rPr>
          <w:rFonts w:ascii="Times New Roman" w:hAnsi="Times New Roman" w:cs="Times New Roman"/>
          <w:sz w:val="24"/>
          <w:szCs w:val="24"/>
        </w:rPr>
        <w:t xml:space="preserve">supérieur ou égal à </w:t>
      </w:r>
      <w:r w:rsidR="004441EB" w:rsidRPr="004A6E37">
        <w:rPr>
          <w:rFonts w:ascii="Times New Roman" w:hAnsi="Times New Roman" w:cs="Times New Roman"/>
          <w:sz w:val="24"/>
          <w:szCs w:val="24"/>
        </w:rPr>
        <w:t xml:space="preserve">quinze millions (15 000 000) de </w:t>
      </w:r>
      <w:r w:rsidR="00646150" w:rsidRPr="004A6E37">
        <w:rPr>
          <w:rFonts w:ascii="Times New Roman" w:hAnsi="Times New Roman" w:cs="Times New Roman"/>
          <w:sz w:val="24"/>
          <w:szCs w:val="24"/>
        </w:rPr>
        <w:t>F</w:t>
      </w:r>
      <w:r w:rsidR="004441EB" w:rsidRPr="004A6E37">
        <w:rPr>
          <w:rFonts w:ascii="Times New Roman" w:hAnsi="Times New Roman" w:cs="Times New Roman"/>
          <w:sz w:val="24"/>
          <w:szCs w:val="24"/>
        </w:rPr>
        <w:t xml:space="preserve"> CFA (seuil fixé par la BCEAO) </w:t>
      </w:r>
      <w:r w:rsidRPr="004A6E37">
        <w:rPr>
          <w:rFonts w:ascii="Times New Roman" w:hAnsi="Times New Roman" w:cs="Times New Roman"/>
          <w:sz w:val="24"/>
          <w:szCs w:val="24"/>
        </w:rPr>
        <w:t>doivent faire l’objet d’une déclaration à la CENTIF, qu’il s’agisse d’une opération unique ou plusieurs opérations qui paraissent liées.</w:t>
      </w:r>
    </w:p>
    <w:p w14:paraId="316A3D6A" w14:textId="77777777" w:rsidR="000F3D86" w:rsidRPr="004A6E37" w:rsidRDefault="00A229CF" w:rsidP="00A229CF">
      <w:pPr>
        <w:spacing w:before="120"/>
        <w:jc w:val="both"/>
        <w:rPr>
          <w:rFonts w:ascii="Times New Roman" w:hAnsi="Times New Roman" w:cs="Times New Roman"/>
          <w:b/>
          <w:sz w:val="24"/>
          <w:szCs w:val="24"/>
        </w:rPr>
      </w:pPr>
      <w:bookmarkStart w:id="51" w:name="_Toc112857566"/>
      <w:r w:rsidRPr="004A6E37">
        <w:rPr>
          <w:rFonts w:ascii="Times New Roman" w:hAnsi="Times New Roman" w:cs="Times New Roman"/>
          <w:b/>
          <w:sz w:val="24"/>
          <w:szCs w:val="24"/>
        </w:rPr>
        <w:t xml:space="preserve">      </w:t>
      </w:r>
      <w:r w:rsidR="004441EB" w:rsidRPr="004A6E37">
        <w:rPr>
          <w:rFonts w:ascii="Times New Roman" w:hAnsi="Times New Roman" w:cs="Times New Roman"/>
          <w:b/>
          <w:sz w:val="24"/>
          <w:szCs w:val="24"/>
        </w:rPr>
        <w:t>4.2.8</w:t>
      </w:r>
      <w:r w:rsidR="000F3D86" w:rsidRPr="004A6E37">
        <w:rPr>
          <w:rFonts w:ascii="Times New Roman" w:hAnsi="Times New Roman" w:cs="Times New Roman"/>
          <w:b/>
          <w:sz w:val="24"/>
          <w:szCs w:val="24"/>
        </w:rPr>
        <w:t>. Obligations de formation et d’information</w:t>
      </w:r>
      <w:bookmarkEnd w:id="51"/>
      <w:r w:rsidR="000F3D86" w:rsidRPr="004A6E37">
        <w:rPr>
          <w:rFonts w:ascii="Times New Roman" w:hAnsi="Times New Roman" w:cs="Times New Roman"/>
          <w:b/>
          <w:sz w:val="24"/>
          <w:szCs w:val="24"/>
        </w:rPr>
        <w:t xml:space="preserve"> </w:t>
      </w:r>
    </w:p>
    <w:p w14:paraId="53C2CAE5" w14:textId="77777777" w:rsidR="000F3D86" w:rsidRPr="004A6E37" w:rsidRDefault="000F3D86" w:rsidP="00117F33">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w:t>
      </w:r>
      <w:r w:rsidR="004441EB" w:rsidRPr="004A6E37">
        <w:rPr>
          <w:rFonts w:ascii="Times New Roman" w:hAnsi="Times New Roman" w:cs="Times New Roman"/>
          <w:sz w:val="24"/>
          <w:szCs w:val="24"/>
        </w:rPr>
        <w:t>personnes morales</w:t>
      </w:r>
      <w:r w:rsidRPr="004A6E37">
        <w:rPr>
          <w:rFonts w:ascii="Times New Roman" w:hAnsi="Times New Roman" w:cs="Times New Roman"/>
          <w:sz w:val="24"/>
          <w:szCs w:val="24"/>
        </w:rPr>
        <w:t xml:space="preserve"> assujetti</w:t>
      </w:r>
      <w:r w:rsidR="004441EB" w:rsidRPr="004A6E37">
        <w:rPr>
          <w:rFonts w:ascii="Times New Roman" w:hAnsi="Times New Roman" w:cs="Times New Roman"/>
          <w:sz w:val="24"/>
          <w:szCs w:val="24"/>
        </w:rPr>
        <w:t>e</w:t>
      </w:r>
      <w:r w:rsidRPr="004A6E37">
        <w:rPr>
          <w:rFonts w:ascii="Times New Roman" w:hAnsi="Times New Roman" w:cs="Times New Roman"/>
          <w:sz w:val="24"/>
          <w:szCs w:val="24"/>
        </w:rPr>
        <w:t>s doivent assurer l’information et la formation de l’ensemble du personnel sur les obligations liées à la LBC/FT et sur les procédures mises en place au sein de leurs structures. A cet effet, ils doivent élaborer un programme de formation.</w:t>
      </w:r>
    </w:p>
    <w:p w14:paraId="72EEA6A7" w14:textId="77777777" w:rsidR="000F3D86" w:rsidRPr="004A6E37" w:rsidRDefault="00117F33" w:rsidP="00117F33">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Elles </w:t>
      </w:r>
      <w:r w:rsidR="000F3D86" w:rsidRPr="004A6E37">
        <w:rPr>
          <w:rFonts w:ascii="Times New Roman" w:hAnsi="Times New Roman" w:cs="Times New Roman"/>
          <w:sz w:val="24"/>
          <w:szCs w:val="24"/>
        </w:rPr>
        <w:t>assurent la mise à jour des connaissances de leurs agents et des collaborateurs selon l’évolution de la réglementation et des procédures applicables.</w:t>
      </w:r>
    </w:p>
    <w:p w14:paraId="487C5159" w14:textId="77777777" w:rsidR="000F3D86" w:rsidRPr="004A6E37" w:rsidRDefault="00A229CF" w:rsidP="00A229CF">
      <w:pPr>
        <w:pStyle w:val="Titre3"/>
        <w:numPr>
          <w:ilvl w:val="0"/>
          <w:numId w:val="0"/>
        </w:numPr>
        <w:ind w:left="720" w:hanging="720"/>
        <w:rPr>
          <w:rFonts w:eastAsiaTheme="minorHAnsi"/>
          <w:bCs w:val="0"/>
          <w:sz w:val="24"/>
          <w:szCs w:val="24"/>
          <w:lang w:eastAsia="en-US"/>
        </w:rPr>
      </w:pPr>
      <w:bookmarkStart w:id="52" w:name="_Toc112857568"/>
      <w:bookmarkStart w:id="53" w:name="_Toc118293977"/>
      <w:r w:rsidRPr="004A6E37">
        <w:rPr>
          <w:rFonts w:eastAsiaTheme="minorHAnsi"/>
          <w:bCs w:val="0"/>
          <w:sz w:val="24"/>
          <w:szCs w:val="24"/>
          <w:lang w:eastAsia="en-US"/>
        </w:rPr>
        <w:t xml:space="preserve">        </w:t>
      </w:r>
      <w:bookmarkStart w:id="54" w:name="_Toc126251881"/>
      <w:r w:rsidR="004441EB" w:rsidRPr="004A6E37">
        <w:rPr>
          <w:rFonts w:eastAsiaTheme="minorHAnsi"/>
          <w:bCs w:val="0"/>
          <w:sz w:val="24"/>
          <w:szCs w:val="24"/>
          <w:lang w:eastAsia="en-US"/>
        </w:rPr>
        <w:t>4.2.9</w:t>
      </w:r>
      <w:r w:rsidR="000F3D86" w:rsidRPr="004A6E37">
        <w:rPr>
          <w:rFonts w:eastAsiaTheme="minorHAnsi"/>
          <w:bCs w:val="0"/>
          <w:sz w:val="24"/>
          <w:szCs w:val="24"/>
          <w:lang w:eastAsia="en-US"/>
        </w:rPr>
        <w:t>. Obligations de conservation de document</w:t>
      </w:r>
      <w:bookmarkEnd w:id="52"/>
      <w:bookmarkEnd w:id="53"/>
      <w:bookmarkEnd w:id="54"/>
      <w:r w:rsidR="000F3D86" w:rsidRPr="004A6E37">
        <w:rPr>
          <w:rFonts w:eastAsiaTheme="minorHAnsi"/>
          <w:bCs w:val="0"/>
          <w:sz w:val="24"/>
          <w:szCs w:val="24"/>
          <w:lang w:eastAsia="en-US"/>
        </w:rPr>
        <w:t> </w:t>
      </w:r>
    </w:p>
    <w:p w14:paraId="6449A6C3" w14:textId="77777777" w:rsidR="000F3D86" w:rsidRPr="004A6E37" w:rsidRDefault="000F3D86" w:rsidP="00EF08B4">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Les p</w:t>
      </w:r>
      <w:r w:rsidR="004441EB" w:rsidRPr="004A6E37">
        <w:rPr>
          <w:rFonts w:ascii="Times New Roman" w:hAnsi="Times New Roman" w:cs="Times New Roman"/>
          <w:sz w:val="24"/>
          <w:szCs w:val="24"/>
        </w:rPr>
        <w:t>ersonnes morales</w:t>
      </w:r>
      <w:r w:rsidRPr="004A6E37">
        <w:rPr>
          <w:rFonts w:ascii="Times New Roman" w:hAnsi="Times New Roman" w:cs="Times New Roman"/>
          <w:sz w:val="24"/>
          <w:szCs w:val="24"/>
        </w:rPr>
        <w:t xml:space="preserve"> </w:t>
      </w:r>
      <w:r w:rsidR="004441EB" w:rsidRPr="004A6E37">
        <w:rPr>
          <w:rFonts w:ascii="Times New Roman" w:hAnsi="Times New Roman" w:cs="Times New Roman"/>
          <w:sz w:val="24"/>
          <w:szCs w:val="24"/>
        </w:rPr>
        <w:t>doivent conserver</w:t>
      </w:r>
      <w:r w:rsidRPr="004A6E37">
        <w:rPr>
          <w:rFonts w:ascii="Times New Roman" w:hAnsi="Times New Roman" w:cs="Times New Roman"/>
          <w:sz w:val="24"/>
          <w:szCs w:val="24"/>
        </w:rPr>
        <w:t xml:space="preserve"> pendant dix ans à compter de la cessation de la relation avec les clients ou de la clôture de leurs comptes les documents et informations relatifs à l’identité du client.</w:t>
      </w:r>
    </w:p>
    <w:p w14:paraId="788F6219" w14:textId="77777777" w:rsidR="009B7F30" w:rsidRPr="004A6E37" w:rsidRDefault="00EF08B4" w:rsidP="00EF08B4">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Elles </w:t>
      </w:r>
      <w:r w:rsidR="000F3D86" w:rsidRPr="004A6E37">
        <w:rPr>
          <w:rFonts w:ascii="Times New Roman" w:hAnsi="Times New Roman" w:cs="Times New Roman"/>
          <w:sz w:val="24"/>
          <w:szCs w:val="24"/>
        </w:rPr>
        <w:t>conservent également pendant dix ans à compter de leur exécution les documents et informations relatifs aux opérations effectuées par leurs clients, ainsi que les documents consignant les caractéristiques des opérations ayant d</w:t>
      </w:r>
      <w:r w:rsidR="004441EB" w:rsidRPr="004A6E37">
        <w:rPr>
          <w:rFonts w:ascii="Times New Roman" w:hAnsi="Times New Roman" w:cs="Times New Roman"/>
          <w:sz w:val="24"/>
          <w:szCs w:val="24"/>
        </w:rPr>
        <w:t>onné lieu à un examen renforcé.</w:t>
      </w:r>
    </w:p>
    <w:p w14:paraId="2FB3626D" w14:textId="77777777" w:rsidR="009B7F30" w:rsidRPr="004A6E37" w:rsidRDefault="00AB6A18" w:rsidP="001F564C">
      <w:pPr>
        <w:pStyle w:val="Titre3"/>
        <w:numPr>
          <w:ilvl w:val="0"/>
          <w:numId w:val="0"/>
        </w:numPr>
        <w:ind w:left="720" w:hanging="720"/>
        <w:rPr>
          <w:sz w:val="24"/>
          <w:szCs w:val="24"/>
        </w:rPr>
      </w:pPr>
      <w:bookmarkStart w:id="55" w:name="_Toc126251882"/>
      <w:r w:rsidRPr="004A6E37">
        <w:rPr>
          <w:sz w:val="24"/>
          <w:szCs w:val="24"/>
        </w:rPr>
        <w:t>4.3</w:t>
      </w:r>
      <w:r w:rsidR="002E2BE8" w:rsidRPr="004A6E37">
        <w:rPr>
          <w:sz w:val="24"/>
          <w:szCs w:val="24"/>
        </w:rPr>
        <w:t>. Responsabilité pénale</w:t>
      </w:r>
      <w:bookmarkEnd w:id="55"/>
    </w:p>
    <w:p w14:paraId="0FD3C77E" w14:textId="77777777" w:rsidR="00EC747F" w:rsidRPr="004A6E37" w:rsidRDefault="005C7A67">
      <w:pPr>
        <w:rPr>
          <w:rFonts w:ascii="Times New Roman" w:hAnsi="Times New Roman" w:cs="Times New Roman"/>
          <w:b/>
          <w:sz w:val="24"/>
          <w:szCs w:val="24"/>
        </w:rPr>
      </w:pPr>
      <w:r w:rsidRPr="004A6E37">
        <w:rPr>
          <w:rFonts w:ascii="Times New Roman" w:hAnsi="Times New Roman" w:cs="Times New Roman"/>
          <w:b/>
          <w:sz w:val="24"/>
          <w:szCs w:val="24"/>
        </w:rPr>
        <w:t>4.3.1. Responsabilité pénale de</w:t>
      </w:r>
      <w:r w:rsidR="00D52032" w:rsidRPr="004A6E37">
        <w:rPr>
          <w:rFonts w:ascii="Times New Roman" w:hAnsi="Times New Roman" w:cs="Times New Roman"/>
          <w:b/>
          <w:sz w:val="24"/>
          <w:szCs w:val="24"/>
        </w:rPr>
        <w:t xml:space="preserve">s personnes morales en matière </w:t>
      </w:r>
      <w:r w:rsidRPr="004A6E37">
        <w:rPr>
          <w:rFonts w:ascii="Times New Roman" w:hAnsi="Times New Roman" w:cs="Times New Roman"/>
          <w:b/>
          <w:sz w:val="24"/>
          <w:szCs w:val="24"/>
        </w:rPr>
        <w:t>blanchiment des capitaux</w:t>
      </w:r>
      <w:r w:rsidR="00945581" w:rsidRPr="004A6E37">
        <w:rPr>
          <w:rFonts w:ascii="Times New Roman" w:hAnsi="Times New Roman" w:cs="Times New Roman"/>
          <w:b/>
          <w:sz w:val="24"/>
          <w:szCs w:val="24"/>
        </w:rPr>
        <w:t>.</w:t>
      </w:r>
    </w:p>
    <w:p w14:paraId="4A98E2B9" w14:textId="77777777" w:rsidR="004F3963" w:rsidRPr="004A6E37" w:rsidRDefault="004F3963" w:rsidP="00D52032">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Aux termes de l’a</w:t>
      </w:r>
      <w:r w:rsidR="005C7A67" w:rsidRPr="004A6E37">
        <w:rPr>
          <w:rFonts w:ascii="Times New Roman" w:hAnsi="Times New Roman" w:cs="Times New Roman"/>
          <w:sz w:val="24"/>
          <w:szCs w:val="24"/>
        </w:rPr>
        <w:t>rticle 124</w:t>
      </w:r>
      <w:r w:rsidRPr="004A6E37">
        <w:rPr>
          <w:rFonts w:ascii="Times New Roman" w:hAnsi="Times New Roman" w:cs="Times New Roman"/>
          <w:sz w:val="24"/>
          <w:szCs w:val="24"/>
        </w:rPr>
        <w:t xml:space="preserve"> de la Loi n°2016-008 du 17 mars 2016 portant loi uniforme relative à la lutte contre le blanchiment de capitaux et le financement du terrorisme</w:t>
      </w:r>
      <w:r w:rsidR="00D52032" w:rsidRPr="004A6E37">
        <w:rPr>
          <w:rFonts w:ascii="Times New Roman" w:hAnsi="Times New Roman" w:cs="Times New Roman"/>
          <w:sz w:val="24"/>
          <w:szCs w:val="24"/>
        </w:rPr>
        <w:t>,</w:t>
      </w:r>
      <w:r w:rsidRPr="004A6E37">
        <w:rPr>
          <w:rFonts w:ascii="Times New Roman" w:hAnsi="Times New Roman" w:cs="Times New Roman"/>
          <w:sz w:val="24"/>
          <w:szCs w:val="24"/>
        </w:rPr>
        <w:t xml:space="preserve"> « </w:t>
      </w:r>
      <w:r w:rsidR="00D52032" w:rsidRPr="004A6E37">
        <w:rPr>
          <w:rFonts w:ascii="Times New Roman" w:hAnsi="Times New Roman" w:cs="Times New Roman"/>
          <w:sz w:val="24"/>
          <w:szCs w:val="24"/>
        </w:rPr>
        <w:t>l</w:t>
      </w:r>
      <w:r w:rsidR="005C7A67" w:rsidRPr="004A6E37">
        <w:rPr>
          <w:rFonts w:ascii="Times New Roman" w:hAnsi="Times New Roman" w:cs="Times New Roman"/>
          <w:sz w:val="24"/>
          <w:szCs w:val="24"/>
        </w:rPr>
        <w:t>es personnes morales autres que</w:t>
      </w:r>
      <w:r w:rsidRPr="004A6E37">
        <w:rPr>
          <w:rFonts w:ascii="Times New Roman" w:hAnsi="Times New Roman" w:cs="Times New Roman"/>
          <w:sz w:val="24"/>
          <w:szCs w:val="24"/>
        </w:rPr>
        <w:t xml:space="preserve"> l'Etat, pour le compte ou au bénéfice desquelles une infr</w:t>
      </w:r>
      <w:r w:rsidR="005C7A67" w:rsidRPr="004A6E37">
        <w:rPr>
          <w:rFonts w:ascii="Times New Roman" w:hAnsi="Times New Roman" w:cs="Times New Roman"/>
          <w:sz w:val="24"/>
          <w:szCs w:val="24"/>
        </w:rPr>
        <w:t>action</w:t>
      </w:r>
      <w:r w:rsidRPr="004A6E37">
        <w:rPr>
          <w:rFonts w:ascii="Times New Roman" w:hAnsi="Times New Roman" w:cs="Times New Roman"/>
          <w:sz w:val="24"/>
          <w:szCs w:val="24"/>
        </w:rPr>
        <w:t xml:space="preserve"> de blanchiment de capitaux ou l'une des infractions prévues par la présente loi a été</w:t>
      </w:r>
      <w:r w:rsidR="005C7A67" w:rsidRPr="004A6E37">
        <w:rPr>
          <w:rFonts w:ascii="Times New Roman" w:hAnsi="Times New Roman" w:cs="Times New Roman"/>
          <w:sz w:val="24"/>
          <w:szCs w:val="24"/>
        </w:rPr>
        <w:t xml:space="preserve"> commise par l'un des organes ou </w:t>
      </w:r>
      <w:r w:rsidRPr="004A6E37">
        <w:rPr>
          <w:rFonts w:ascii="Times New Roman" w:hAnsi="Times New Roman" w:cs="Times New Roman"/>
          <w:sz w:val="24"/>
          <w:szCs w:val="24"/>
        </w:rPr>
        <w:t>représentants</w:t>
      </w:r>
      <w:r w:rsidR="005C7A67" w:rsidRPr="004A6E37">
        <w:rPr>
          <w:rFonts w:ascii="Times New Roman" w:hAnsi="Times New Roman" w:cs="Times New Roman"/>
          <w:sz w:val="24"/>
          <w:szCs w:val="24"/>
        </w:rPr>
        <w:t>, sont pun</w:t>
      </w:r>
      <w:r w:rsidRPr="004A6E37">
        <w:rPr>
          <w:rFonts w:ascii="Times New Roman" w:hAnsi="Times New Roman" w:cs="Times New Roman"/>
          <w:sz w:val="24"/>
          <w:szCs w:val="24"/>
        </w:rPr>
        <w:t>ies d'une amende d'un taux ég</w:t>
      </w:r>
      <w:r w:rsidR="005C7A67" w:rsidRPr="004A6E37">
        <w:rPr>
          <w:rFonts w:ascii="Times New Roman" w:hAnsi="Times New Roman" w:cs="Times New Roman"/>
          <w:sz w:val="24"/>
          <w:szCs w:val="24"/>
        </w:rPr>
        <w:t>al au quintuple de celles encourues par l</w:t>
      </w:r>
      <w:r w:rsidRPr="004A6E37">
        <w:rPr>
          <w:rFonts w:ascii="Times New Roman" w:hAnsi="Times New Roman" w:cs="Times New Roman"/>
          <w:sz w:val="24"/>
          <w:szCs w:val="24"/>
        </w:rPr>
        <w:t>es personnes physiques, sans pré</w:t>
      </w:r>
      <w:r w:rsidR="005C7A67" w:rsidRPr="004A6E37">
        <w:rPr>
          <w:rFonts w:ascii="Times New Roman" w:hAnsi="Times New Roman" w:cs="Times New Roman"/>
          <w:sz w:val="24"/>
          <w:szCs w:val="24"/>
        </w:rPr>
        <w:t>judice</w:t>
      </w:r>
      <w:r w:rsidRPr="004A6E37">
        <w:rPr>
          <w:rFonts w:ascii="Times New Roman" w:hAnsi="Times New Roman" w:cs="Times New Roman"/>
          <w:sz w:val="24"/>
          <w:szCs w:val="24"/>
        </w:rPr>
        <w:t xml:space="preserve"> de la condamnation de ces derniè</w:t>
      </w:r>
      <w:r w:rsidR="005C7A67" w:rsidRPr="004A6E37">
        <w:rPr>
          <w:rFonts w:ascii="Times New Roman" w:hAnsi="Times New Roman" w:cs="Times New Roman"/>
          <w:sz w:val="24"/>
          <w:szCs w:val="24"/>
        </w:rPr>
        <w:t>res c</w:t>
      </w:r>
      <w:r w:rsidRPr="004A6E37">
        <w:rPr>
          <w:rFonts w:ascii="Times New Roman" w:hAnsi="Times New Roman" w:cs="Times New Roman"/>
          <w:sz w:val="24"/>
          <w:szCs w:val="24"/>
        </w:rPr>
        <w:t>omme auteurs ou complices des mêmes</w:t>
      </w:r>
      <w:r w:rsidR="005C7A67" w:rsidRPr="004A6E37">
        <w:rPr>
          <w:rFonts w:ascii="Times New Roman" w:hAnsi="Times New Roman" w:cs="Times New Roman"/>
          <w:sz w:val="24"/>
          <w:szCs w:val="24"/>
        </w:rPr>
        <w:t xml:space="preserve"> faits</w:t>
      </w:r>
      <w:r w:rsidRPr="004A6E37">
        <w:rPr>
          <w:rFonts w:ascii="Times New Roman" w:hAnsi="Times New Roman" w:cs="Times New Roman"/>
          <w:sz w:val="24"/>
          <w:szCs w:val="24"/>
        </w:rPr>
        <w:t> »</w:t>
      </w:r>
      <w:r w:rsidR="005C7A67" w:rsidRPr="004A6E37">
        <w:rPr>
          <w:rFonts w:ascii="Times New Roman" w:hAnsi="Times New Roman" w:cs="Times New Roman"/>
          <w:sz w:val="24"/>
          <w:szCs w:val="24"/>
        </w:rPr>
        <w:t xml:space="preserve">. </w:t>
      </w:r>
    </w:p>
    <w:p w14:paraId="663EA4A7" w14:textId="77777777" w:rsidR="004F3963" w:rsidRPr="004A6E37" w:rsidRDefault="004F3963"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En outre, l</w:t>
      </w:r>
      <w:r w:rsidR="005C7A67" w:rsidRPr="004A6E37">
        <w:rPr>
          <w:rFonts w:ascii="Times New Roman" w:hAnsi="Times New Roman" w:cs="Times New Roman"/>
          <w:sz w:val="24"/>
          <w:szCs w:val="24"/>
        </w:rPr>
        <w:t xml:space="preserve">es personnes morales, autres </w:t>
      </w:r>
      <w:r w:rsidRPr="004A6E37">
        <w:rPr>
          <w:rFonts w:ascii="Times New Roman" w:hAnsi="Times New Roman" w:cs="Times New Roman"/>
          <w:sz w:val="24"/>
          <w:szCs w:val="24"/>
        </w:rPr>
        <w:t>que l'Etat, peuvent être</w:t>
      </w:r>
      <w:r w:rsidR="005C7A67" w:rsidRPr="004A6E37">
        <w:rPr>
          <w:rFonts w:ascii="Times New Roman" w:hAnsi="Times New Roman" w:cs="Times New Roman"/>
          <w:sz w:val="24"/>
          <w:szCs w:val="24"/>
        </w:rPr>
        <w:t xml:space="preserve"> co</w:t>
      </w:r>
      <w:r w:rsidRPr="004A6E37">
        <w:rPr>
          <w:rFonts w:ascii="Times New Roman" w:hAnsi="Times New Roman" w:cs="Times New Roman"/>
          <w:sz w:val="24"/>
          <w:szCs w:val="24"/>
        </w:rPr>
        <w:t>ndamné</w:t>
      </w:r>
      <w:r w:rsidR="005C7A67" w:rsidRPr="004A6E37">
        <w:rPr>
          <w:rFonts w:ascii="Times New Roman" w:hAnsi="Times New Roman" w:cs="Times New Roman"/>
          <w:sz w:val="24"/>
          <w:szCs w:val="24"/>
        </w:rPr>
        <w:t xml:space="preserve">es </w:t>
      </w:r>
      <w:r w:rsidRPr="004A6E37">
        <w:rPr>
          <w:rFonts w:ascii="Times New Roman" w:hAnsi="Times New Roman" w:cs="Times New Roman"/>
          <w:sz w:val="24"/>
          <w:szCs w:val="24"/>
        </w:rPr>
        <w:t>ainsi aux peines suivantes :</w:t>
      </w:r>
      <w:r w:rsidR="005C7A67" w:rsidRPr="004A6E37">
        <w:rPr>
          <w:rFonts w:ascii="Times New Roman" w:hAnsi="Times New Roman" w:cs="Times New Roman"/>
          <w:sz w:val="24"/>
          <w:szCs w:val="24"/>
        </w:rPr>
        <w:t xml:space="preserve"> </w:t>
      </w:r>
    </w:p>
    <w:p w14:paraId="0C3F8585" w14:textId="77777777" w:rsidR="004F3963" w:rsidRPr="004A6E37" w:rsidRDefault="004F3963"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l'exclusion des marchés publics, à titre dé</w:t>
      </w:r>
      <w:r w:rsidR="005C7A67" w:rsidRPr="004A6E37">
        <w:rPr>
          <w:rFonts w:ascii="Times New Roman" w:hAnsi="Times New Roman" w:cs="Times New Roman"/>
          <w:sz w:val="24"/>
          <w:szCs w:val="24"/>
        </w:rPr>
        <w:t>finitif</w:t>
      </w:r>
      <w:r w:rsidRPr="004A6E37">
        <w:rPr>
          <w:rFonts w:ascii="Times New Roman" w:hAnsi="Times New Roman" w:cs="Times New Roman"/>
          <w:sz w:val="24"/>
          <w:szCs w:val="24"/>
        </w:rPr>
        <w:t xml:space="preserve"> ou pour une duré</w:t>
      </w:r>
      <w:r w:rsidR="005C7A67" w:rsidRPr="004A6E37">
        <w:rPr>
          <w:rFonts w:ascii="Times New Roman" w:hAnsi="Times New Roman" w:cs="Times New Roman"/>
          <w:sz w:val="24"/>
          <w:szCs w:val="24"/>
        </w:rPr>
        <w:t xml:space="preserve">e de cinq ans au plus ; </w:t>
      </w:r>
    </w:p>
    <w:p w14:paraId="7BF1F38A" w14:textId="77777777" w:rsidR="008834F4" w:rsidRPr="004A6E37" w:rsidRDefault="004F3963"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la </w:t>
      </w:r>
      <w:r w:rsidR="005C7A67" w:rsidRPr="004A6E37">
        <w:rPr>
          <w:rFonts w:ascii="Times New Roman" w:hAnsi="Times New Roman" w:cs="Times New Roman"/>
          <w:sz w:val="24"/>
          <w:szCs w:val="24"/>
        </w:rPr>
        <w:t>confi</w:t>
      </w:r>
      <w:r w:rsidR="008834F4" w:rsidRPr="004A6E37">
        <w:rPr>
          <w:rFonts w:ascii="Times New Roman" w:hAnsi="Times New Roman" w:cs="Times New Roman"/>
          <w:sz w:val="24"/>
          <w:szCs w:val="24"/>
        </w:rPr>
        <w:t xml:space="preserve">scation du bien qui a servi ou </w:t>
      </w:r>
      <w:r w:rsidR="00D52032" w:rsidRPr="004A6E37">
        <w:rPr>
          <w:rFonts w:ascii="Times New Roman" w:hAnsi="Times New Roman" w:cs="Times New Roman"/>
          <w:sz w:val="24"/>
          <w:szCs w:val="24"/>
        </w:rPr>
        <w:t xml:space="preserve">qui </w:t>
      </w:r>
      <w:r w:rsidR="008834F4" w:rsidRPr="004A6E37">
        <w:rPr>
          <w:rFonts w:ascii="Times New Roman" w:hAnsi="Times New Roman" w:cs="Times New Roman"/>
          <w:sz w:val="24"/>
          <w:szCs w:val="24"/>
        </w:rPr>
        <w:t>était destiné</w:t>
      </w:r>
      <w:r w:rsidR="005C7A67" w:rsidRPr="004A6E37">
        <w:rPr>
          <w:rFonts w:ascii="Times New Roman" w:hAnsi="Times New Roman" w:cs="Times New Roman"/>
          <w:sz w:val="24"/>
          <w:szCs w:val="24"/>
        </w:rPr>
        <w:t xml:space="preserve"> </w:t>
      </w:r>
      <w:r w:rsidR="008834F4" w:rsidRPr="004A6E37">
        <w:rPr>
          <w:rFonts w:ascii="Times New Roman" w:hAnsi="Times New Roman" w:cs="Times New Roman"/>
          <w:sz w:val="24"/>
          <w:szCs w:val="24"/>
        </w:rPr>
        <w:t>à commettre l'infr</w:t>
      </w:r>
      <w:r w:rsidR="005C7A67" w:rsidRPr="004A6E37">
        <w:rPr>
          <w:rFonts w:ascii="Times New Roman" w:hAnsi="Times New Roman" w:cs="Times New Roman"/>
          <w:sz w:val="24"/>
          <w:szCs w:val="24"/>
        </w:rPr>
        <w:t>action ou du bien qui en est le produit ;</w:t>
      </w:r>
    </w:p>
    <w:p w14:paraId="0C18E621" w14:textId="77777777" w:rsidR="008834F4" w:rsidRPr="004A6E37" w:rsidRDefault="005C7A67"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le placement sous surveillance</w:t>
      </w:r>
      <w:r w:rsidR="008834F4" w:rsidRPr="004A6E37">
        <w:rPr>
          <w:rFonts w:ascii="Times New Roman" w:hAnsi="Times New Roman" w:cs="Times New Roman"/>
          <w:sz w:val="24"/>
          <w:szCs w:val="24"/>
        </w:rPr>
        <w:t xml:space="preserve"> </w:t>
      </w:r>
      <w:r w:rsidRPr="004A6E37">
        <w:rPr>
          <w:rFonts w:ascii="Times New Roman" w:hAnsi="Times New Roman" w:cs="Times New Roman"/>
          <w:sz w:val="24"/>
          <w:szCs w:val="24"/>
        </w:rPr>
        <w:t>judiciaire pour</w:t>
      </w:r>
      <w:r w:rsidR="008834F4" w:rsidRPr="004A6E37">
        <w:rPr>
          <w:rFonts w:ascii="Times New Roman" w:hAnsi="Times New Roman" w:cs="Times New Roman"/>
          <w:sz w:val="24"/>
          <w:szCs w:val="24"/>
        </w:rPr>
        <w:t xml:space="preserve"> une duré</w:t>
      </w:r>
      <w:r w:rsidRPr="004A6E37">
        <w:rPr>
          <w:rFonts w:ascii="Times New Roman" w:hAnsi="Times New Roman" w:cs="Times New Roman"/>
          <w:sz w:val="24"/>
          <w:szCs w:val="24"/>
        </w:rPr>
        <w:t xml:space="preserve">e de cinq ans au plus ; </w:t>
      </w:r>
    </w:p>
    <w:p w14:paraId="3241302B" w14:textId="77777777" w:rsidR="008834F4" w:rsidRPr="004A6E37" w:rsidRDefault="008834F4"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l'interdiction, à titre définitif ou pour une duré</w:t>
      </w:r>
      <w:r w:rsidR="005C7A67" w:rsidRPr="004A6E37">
        <w:rPr>
          <w:rFonts w:ascii="Times New Roman" w:hAnsi="Times New Roman" w:cs="Times New Roman"/>
          <w:sz w:val="24"/>
          <w:szCs w:val="24"/>
        </w:rPr>
        <w:t>e de cinq ans, d'exercer directement ou indirectement une ou plusieurs ac</w:t>
      </w:r>
      <w:r w:rsidRPr="004A6E37">
        <w:rPr>
          <w:rFonts w:ascii="Times New Roman" w:hAnsi="Times New Roman" w:cs="Times New Roman"/>
          <w:sz w:val="24"/>
          <w:szCs w:val="24"/>
        </w:rPr>
        <w:t>tivité</w:t>
      </w:r>
      <w:r w:rsidR="005C7A67" w:rsidRPr="004A6E37">
        <w:rPr>
          <w:rFonts w:ascii="Times New Roman" w:hAnsi="Times New Roman" w:cs="Times New Roman"/>
          <w:sz w:val="24"/>
          <w:szCs w:val="24"/>
        </w:rPr>
        <w:t xml:space="preserve">s professionnelles ou sociales </w:t>
      </w:r>
      <w:r w:rsidRPr="004A6E37">
        <w:rPr>
          <w:rFonts w:ascii="Times New Roman" w:hAnsi="Times New Roman" w:cs="Times New Roman"/>
          <w:sz w:val="24"/>
          <w:szCs w:val="24"/>
        </w:rPr>
        <w:t>à l'occasion de laquelle l'infraction a été</w:t>
      </w:r>
      <w:r w:rsidR="005C7A67" w:rsidRPr="004A6E37">
        <w:rPr>
          <w:rFonts w:ascii="Times New Roman" w:hAnsi="Times New Roman" w:cs="Times New Roman"/>
          <w:sz w:val="24"/>
          <w:szCs w:val="24"/>
        </w:rPr>
        <w:t xml:space="preserve"> commise ; </w:t>
      </w:r>
    </w:p>
    <w:p w14:paraId="09E1B399" w14:textId="77777777" w:rsidR="008834F4" w:rsidRPr="004A6E37" w:rsidRDefault="005C7A67"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la fermeture </w:t>
      </w:r>
      <w:r w:rsidR="008834F4" w:rsidRPr="004A6E37">
        <w:rPr>
          <w:rFonts w:ascii="Times New Roman" w:hAnsi="Times New Roman" w:cs="Times New Roman"/>
          <w:sz w:val="24"/>
          <w:szCs w:val="24"/>
        </w:rPr>
        <w:t>définitive ou pour une durée de cinq ans, des é</w:t>
      </w:r>
      <w:r w:rsidR="00EA6FDA" w:rsidRPr="004A6E37">
        <w:rPr>
          <w:rFonts w:ascii="Times New Roman" w:hAnsi="Times New Roman" w:cs="Times New Roman"/>
          <w:sz w:val="24"/>
          <w:szCs w:val="24"/>
        </w:rPr>
        <w:t>tablissements ou de l</w:t>
      </w:r>
      <w:r w:rsidRPr="004A6E37">
        <w:rPr>
          <w:rFonts w:ascii="Times New Roman" w:hAnsi="Times New Roman" w:cs="Times New Roman"/>
          <w:sz w:val="24"/>
          <w:szCs w:val="24"/>
        </w:rPr>
        <w:t xml:space="preserve">'un des </w:t>
      </w:r>
      <w:r w:rsidR="008834F4" w:rsidRPr="004A6E37">
        <w:rPr>
          <w:rFonts w:ascii="Times New Roman" w:hAnsi="Times New Roman" w:cs="Times New Roman"/>
          <w:sz w:val="24"/>
          <w:szCs w:val="24"/>
        </w:rPr>
        <w:t>établissements de l'entreprise ayant servi à</w:t>
      </w:r>
      <w:r w:rsidRPr="004A6E37">
        <w:rPr>
          <w:rFonts w:ascii="Times New Roman" w:hAnsi="Times New Roman" w:cs="Times New Roman"/>
          <w:sz w:val="24"/>
          <w:szCs w:val="24"/>
        </w:rPr>
        <w:t xml:space="preserve"> commettre les faits incrimi</w:t>
      </w:r>
      <w:r w:rsidR="008834F4" w:rsidRPr="004A6E37">
        <w:rPr>
          <w:rFonts w:ascii="Times New Roman" w:hAnsi="Times New Roman" w:cs="Times New Roman"/>
          <w:sz w:val="24"/>
          <w:szCs w:val="24"/>
        </w:rPr>
        <w:t>né</w:t>
      </w:r>
      <w:r w:rsidRPr="004A6E37">
        <w:rPr>
          <w:rFonts w:ascii="Times New Roman" w:hAnsi="Times New Roman" w:cs="Times New Roman"/>
          <w:sz w:val="24"/>
          <w:szCs w:val="24"/>
        </w:rPr>
        <w:t xml:space="preserve">s ; </w:t>
      </w:r>
    </w:p>
    <w:p w14:paraId="32B39D1F" w14:textId="77777777" w:rsidR="008834F4" w:rsidRPr="004A6E37" w:rsidRDefault="005C7A67"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la d</w:t>
      </w:r>
      <w:r w:rsidR="008834F4" w:rsidRPr="004A6E37">
        <w:rPr>
          <w:rFonts w:ascii="Times New Roman" w:hAnsi="Times New Roman" w:cs="Times New Roman"/>
          <w:sz w:val="24"/>
          <w:szCs w:val="24"/>
        </w:rPr>
        <w:t>issolution, lorsqu'elles ont été</w:t>
      </w:r>
      <w:r w:rsidRPr="004A6E37">
        <w:rPr>
          <w:rFonts w:ascii="Times New Roman" w:hAnsi="Times New Roman" w:cs="Times New Roman"/>
          <w:sz w:val="24"/>
          <w:szCs w:val="24"/>
        </w:rPr>
        <w:t xml:space="preserve"> </w:t>
      </w:r>
      <w:r w:rsidR="008834F4" w:rsidRPr="004A6E37">
        <w:rPr>
          <w:rFonts w:ascii="Times New Roman" w:hAnsi="Times New Roman" w:cs="Times New Roman"/>
          <w:sz w:val="24"/>
          <w:szCs w:val="24"/>
        </w:rPr>
        <w:t>créées</w:t>
      </w:r>
      <w:r w:rsidRPr="004A6E37">
        <w:rPr>
          <w:rFonts w:ascii="Times New Roman" w:hAnsi="Times New Roman" w:cs="Times New Roman"/>
          <w:sz w:val="24"/>
          <w:szCs w:val="24"/>
        </w:rPr>
        <w:t xml:space="preserve"> po</w:t>
      </w:r>
      <w:r w:rsidR="008834F4" w:rsidRPr="004A6E37">
        <w:rPr>
          <w:rFonts w:ascii="Times New Roman" w:hAnsi="Times New Roman" w:cs="Times New Roman"/>
          <w:sz w:val="24"/>
          <w:szCs w:val="24"/>
        </w:rPr>
        <w:t>ur commettre les faits incriminé</w:t>
      </w:r>
      <w:r w:rsidRPr="004A6E37">
        <w:rPr>
          <w:rFonts w:ascii="Times New Roman" w:hAnsi="Times New Roman" w:cs="Times New Roman"/>
          <w:sz w:val="24"/>
          <w:szCs w:val="24"/>
        </w:rPr>
        <w:t xml:space="preserve">s ; </w:t>
      </w:r>
    </w:p>
    <w:p w14:paraId="2F9F6C01" w14:textId="77777777" w:rsidR="008834F4" w:rsidRPr="004A6E37" w:rsidRDefault="008834F4" w:rsidP="00920BFE">
      <w:pPr>
        <w:pStyle w:val="Paragraphedeliste"/>
        <w:numPr>
          <w:ilvl w:val="0"/>
          <w:numId w:val="30"/>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l'affichage de la décision prononcé</w:t>
      </w:r>
      <w:r w:rsidR="005C7A67" w:rsidRPr="004A6E37">
        <w:rPr>
          <w:rFonts w:ascii="Times New Roman" w:hAnsi="Times New Roman" w:cs="Times New Roman"/>
          <w:sz w:val="24"/>
          <w:szCs w:val="24"/>
        </w:rPr>
        <w:t>e ou la diffu</w:t>
      </w:r>
      <w:r w:rsidRPr="004A6E37">
        <w:rPr>
          <w:rFonts w:ascii="Times New Roman" w:hAnsi="Times New Roman" w:cs="Times New Roman"/>
          <w:sz w:val="24"/>
          <w:szCs w:val="24"/>
        </w:rPr>
        <w:t>sion de celle-ci par la presse écrite</w:t>
      </w:r>
      <w:r w:rsidR="005C7A67" w:rsidRPr="004A6E37">
        <w:rPr>
          <w:rFonts w:ascii="Times New Roman" w:hAnsi="Times New Roman" w:cs="Times New Roman"/>
          <w:sz w:val="24"/>
          <w:szCs w:val="24"/>
        </w:rPr>
        <w:t xml:space="preserve"> ou par tout moyen de communication audiovisuelle, aux frais de la personne morale </w:t>
      </w:r>
      <w:r w:rsidRPr="004A6E37">
        <w:rPr>
          <w:rFonts w:ascii="Times New Roman" w:hAnsi="Times New Roman" w:cs="Times New Roman"/>
          <w:sz w:val="24"/>
          <w:szCs w:val="24"/>
        </w:rPr>
        <w:t>condamnée</w:t>
      </w:r>
      <w:r w:rsidR="005C7A67" w:rsidRPr="004A6E37">
        <w:rPr>
          <w:rFonts w:ascii="Times New Roman" w:hAnsi="Times New Roman" w:cs="Times New Roman"/>
          <w:sz w:val="24"/>
          <w:szCs w:val="24"/>
        </w:rPr>
        <w:t xml:space="preserve">. </w:t>
      </w:r>
    </w:p>
    <w:p w14:paraId="11FF2F9E" w14:textId="77777777" w:rsidR="00491C2D" w:rsidRPr="004A6E37" w:rsidRDefault="0095732F" w:rsidP="00D52032">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Toutefois, la loi a prévu</w:t>
      </w:r>
      <w:r w:rsidR="00491C2D" w:rsidRPr="004A6E37">
        <w:rPr>
          <w:rFonts w:ascii="Times New Roman" w:hAnsi="Times New Roman" w:cs="Times New Roman"/>
          <w:sz w:val="24"/>
          <w:szCs w:val="24"/>
        </w:rPr>
        <w:t xml:space="preserve"> des dérogations aux institutions financières relevant d'une autorité de contrôle</w:t>
      </w:r>
      <w:r w:rsidR="005C7A67" w:rsidRPr="004A6E37">
        <w:rPr>
          <w:rFonts w:ascii="Times New Roman" w:hAnsi="Times New Roman" w:cs="Times New Roman"/>
          <w:sz w:val="24"/>
          <w:szCs w:val="24"/>
        </w:rPr>
        <w:t xml:space="preserve"> disposant d'un pouvoir disciplinai</w:t>
      </w:r>
      <w:r w:rsidR="00491C2D" w:rsidRPr="004A6E37">
        <w:rPr>
          <w:rFonts w:ascii="Times New Roman" w:hAnsi="Times New Roman" w:cs="Times New Roman"/>
          <w:sz w:val="24"/>
          <w:szCs w:val="24"/>
        </w:rPr>
        <w:t xml:space="preserve">re. </w:t>
      </w:r>
    </w:p>
    <w:p w14:paraId="05D27E4B" w14:textId="77777777" w:rsidR="005C7A67" w:rsidRPr="004A6E37" w:rsidRDefault="00451906" w:rsidP="00D52032">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De même</w:t>
      </w:r>
      <w:r w:rsidR="002B729D" w:rsidRPr="004A6E37">
        <w:rPr>
          <w:rFonts w:ascii="Times New Roman" w:hAnsi="Times New Roman" w:cs="Times New Roman"/>
          <w:sz w:val="24"/>
          <w:szCs w:val="24"/>
        </w:rPr>
        <w:t xml:space="preserve"> «l</w:t>
      </w:r>
      <w:r w:rsidR="00491C2D" w:rsidRPr="004A6E37">
        <w:rPr>
          <w:rFonts w:ascii="Times New Roman" w:hAnsi="Times New Roman" w:cs="Times New Roman"/>
          <w:sz w:val="24"/>
          <w:szCs w:val="24"/>
        </w:rPr>
        <w:t>'autorité</w:t>
      </w:r>
      <w:r w:rsidRPr="004A6E37">
        <w:rPr>
          <w:rFonts w:ascii="Times New Roman" w:hAnsi="Times New Roman" w:cs="Times New Roman"/>
          <w:sz w:val="24"/>
          <w:szCs w:val="24"/>
        </w:rPr>
        <w:t xml:space="preserve"> de contrôle</w:t>
      </w:r>
      <w:r w:rsidR="00491C2D" w:rsidRPr="004A6E37">
        <w:rPr>
          <w:rFonts w:ascii="Times New Roman" w:hAnsi="Times New Roman" w:cs="Times New Roman"/>
          <w:sz w:val="24"/>
          <w:szCs w:val="24"/>
        </w:rPr>
        <w:t xml:space="preserve"> compétente</w:t>
      </w:r>
      <w:r w:rsidR="005C7A67" w:rsidRPr="004A6E37">
        <w:rPr>
          <w:rFonts w:ascii="Times New Roman" w:hAnsi="Times New Roman" w:cs="Times New Roman"/>
          <w:sz w:val="24"/>
          <w:szCs w:val="24"/>
        </w:rPr>
        <w:t xml:space="preserve">, </w:t>
      </w:r>
      <w:r w:rsidR="00491C2D" w:rsidRPr="004A6E37">
        <w:rPr>
          <w:rFonts w:ascii="Times New Roman" w:hAnsi="Times New Roman" w:cs="Times New Roman"/>
          <w:sz w:val="24"/>
          <w:szCs w:val="24"/>
        </w:rPr>
        <w:t>saisie par le Procureur de la Ré</w:t>
      </w:r>
      <w:r w:rsidR="005C7A67" w:rsidRPr="004A6E37">
        <w:rPr>
          <w:rFonts w:ascii="Times New Roman" w:hAnsi="Times New Roman" w:cs="Times New Roman"/>
          <w:sz w:val="24"/>
          <w:szCs w:val="24"/>
        </w:rPr>
        <w:t>pu</w:t>
      </w:r>
      <w:r w:rsidR="00491C2D" w:rsidRPr="004A6E37">
        <w:rPr>
          <w:rFonts w:ascii="Times New Roman" w:hAnsi="Times New Roman" w:cs="Times New Roman"/>
          <w:sz w:val="24"/>
          <w:szCs w:val="24"/>
        </w:rPr>
        <w:t>blique de toute poursuite engagé</w:t>
      </w:r>
      <w:r w:rsidR="005C7A67" w:rsidRPr="004A6E37">
        <w:rPr>
          <w:rFonts w:ascii="Times New Roman" w:hAnsi="Times New Roman" w:cs="Times New Roman"/>
          <w:sz w:val="24"/>
          <w:szCs w:val="24"/>
        </w:rPr>
        <w:t>e</w:t>
      </w:r>
      <w:r w:rsidR="00491C2D" w:rsidRPr="004A6E37">
        <w:rPr>
          <w:rFonts w:ascii="Times New Roman" w:hAnsi="Times New Roman" w:cs="Times New Roman"/>
          <w:sz w:val="24"/>
          <w:szCs w:val="24"/>
        </w:rPr>
        <w:t xml:space="preserve"> contre une institution financière</w:t>
      </w:r>
      <w:r w:rsidR="005C7A67" w:rsidRPr="004A6E37">
        <w:rPr>
          <w:rFonts w:ascii="Times New Roman" w:hAnsi="Times New Roman" w:cs="Times New Roman"/>
          <w:sz w:val="24"/>
          <w:szCs w:val="24"/>
        </w:rPr>
        <w:t xml:space="preserve">, peut prendre les sanctions </w:t>
      </w:r>
      <w:r w:rsidR="00491C2D" w:rsidRPr="004A6E37">
        <w:rPr>
          <w:rFonts w:ascii="Times New Roman" w:hAnsi="Times New Roman" w:cs="Times New Roman"/>
          <w:sz w:val="24"/>
          <w:szCs w:val="24"/>
        </w:rPr>
        <w:t>appropriées</w:t>
      </w:r>
      <w:r w:rsidR="00E44DD6" w:rsidRPr="004A6E37">
        <w:rPr>
          <w:rFonts w:ascii="Times New Roman" w:hAnsi="Times New Roman" w:cs="Times New Roman"/>
          <w:sz w:val="24"/>
          <w:szCs w:val="24"/>
        </w:rPr>
        <w:t>,</w:t>
      </w:r>
      <w:r w:rsidR="00491C2D" w:rsidRPr="004A6E37">
        <w:rPr>
          <w:rFonts w:ascii="Times New Roman" w:hAnsi="Times New Roman" w:cs="Times New Roman"/>
          <w:sz w:val="24"/>
          <w:szCs w:val="24"/>
        </w:rPr>
        <w:t xml:space="preserve"> conformément</w:t>
      </w:r>
      <w:r w:rsidR="005C7A67" w:rsidRPr="004A6E37">
        <w:rPr>
          <w:rFonts w:ascii="Times New Roman" w:hAnsi="Times New Roman" w:cs="Times New Roman"/>
          <w:sz w:val="24"/>
          <w:szCs w:val="24"/>
        </w:rPr>
        <w:t xml:space="preserve"> aux textes </w:t>
      </w:r>
      <w:r w:rsidR="00491C2D" w:rsidRPr="004A6E37">
        <w:rPr>
          <w:rFonts w:ascii="Times New Roman" w:hAnsi="Times New Roman" w:cs="Times New Roman"/>
          <w:sz w:val="24"/>
          <w:szCs w:val="24"/>
        </w:rPr>
        <w:t>législatifs et règlementaires spécifi</w:t>
      </w:r>
      <w:r w:rsidR="005C7A67" w:rsidRPr="004A6E37">
        <w:rPr>
          <w:rFonts w:ascii="Times New Roman" w:hAnsi="Times New Roman" w:cs="Times New Roman"/>
          <w:sz w:val="24"/>
          <w:szCs w:val="24"/>
        </w:rPr>
        <w:t>ques en vigueur</w:t>
      </w:r>
      <w:r w:rsidRPr="004A6E37">
        <w:rPr>
          <w:rFonts w:ascii="Times New Roman" w:hAnsi="Times New Roman" w:cs="Times New Roman"/>
          <w:sz w:val="24"/>
          <w:szCs w:val="24"/>
        </w:rPr>
        <w:t> »</w:t>
      </w:r>
      <w:r w:rsidR="005C7A67" w:rsidRPr="004A6E37">
        <w:rPr>
          <w:rFonts w:ascii="Times New Roman" w:hAnsi="Times New Roman" w:cs="Times New Roman"/>
          <w:sz w:val="24"/>
          <w:szCs w:val="24"/>
        </w:rPr>
        <w:t>.</w:t>
      </w:r>
    </w:p>
    <w:p w14:paraId="7743B811" w14:textId="77777777" w:rsidR="007F5710" w:rsidRPr="004A6E37" w:rsidRDefault="007F5710" w:rsidP="004B555A">
      <w:pPr>
        <w:spacing w:line="360" w:lineRule="auto"/>
        <w:rPr>
          <w:rFonts w:ascii="Times New Roman" w:hAnsi="Times New Roman" w:cs="Times New Roman"/>
          <w:b/>
          <w:sz w:val="24"/>
          <w:szCs w:val="24"/>
        </w:rPr>
      </w:pPr>
      <w:r w:rsidRPr="004A6E37">
        <w:rPr>
          <w:rFonts w:ascii="Times New Roman" w:hAnsi="Times New Roman" w:cs="Times New Roman"/>
          <w:b/>
          <w:sz w:val="24"/>
          <w:szCs w:val="24"/>
        </w:rPr>
        <w:t>4.3.2. Responsabilité pénale des personnes morales en matière de financement du  terrorisme</w:t>
      </w:r>
    </w:p>
    <w:p w14:paraId="7BF9668C" w14:textId="77777777" w:rsidR="007F5710" w:rsidRPr="004A6E37" w:rsidRDefault="007F5710" w:rsidP="004B555A">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Aux termes de l’article 125 de la Loi n°2016-008 du 17 mars 2016 portant loi uniforme relative à la lutte contre le blanchiment de capitaux et </w:t>
      </w:r>
      <w:r w:rsidR="008F030E" w:rsidRPr="004A6E37">
        <w:rPr>
          <w:rFonts w:ascii="Times New Roman" w:hAnsi="Times New Roman" w:cs="Times New Roman"/>
          <w:sz w:val="24"/>
          <w:szCs w:val="24"/>
        </w:rPr>
        <w:t>le financement du terrorisme, « l</w:t>
      </w:r>
      <w:r w:rsidRPr="004A6E37">
        <w:rPr>
          <w:rFonts w:ascii="Times New Roman" w:hAnsi="Times New Roman" w:cs="Times New Roman"/>
          <w:sz w:val="24"/>
          <w:szCs w:val="24"/>
        </w:rPr>
        <w:t xml:space="preserve">es personnes morales autres que l'Etat, pour le compte ou au bénéfice desquelles une infraction de financement du terrorisme ou l'une des infractions prévues par la présente loi a été commise par l'un des organes ou représentants, sont punies d'une amende d'un taux égal au quintuple de celles encourues par les personnes physiques, sans préjudice de la condamnation de ces dernières comme auteurs ou complices des mêmes faits ». </w:t>
      </w:r>
    </w:p>
    <w:p w14:paraId="29E00B29" w14:textId="77777777" w:rsidR="00C71729" w:rsidRDefault="00C71729" w:rsidP="002E0285">
      <w:pPr>
        <w:spacing w:before="120" w:line="360" w:lineRule="auto"/>
        <w:jc w:val="both"/>
        <w:rPr>
          <w:rFonts w:ascii="Times New Roman" w:hAnsi="Times New Roman" w:cs="Times New Roman"/>
          <w:sz w:val="24"/>
          <w:szCs w:val="26"/>
        </w:rPr>
      </w:pPr>
      <w:r w:rsidRPr="004A6E37">
        <w:rPr>
          <w:rFonts w:ascii="Times New Roman" w:hAnsi="Times New Roman" w:cs="Times New Roman"/>
          <w:sz w:val="24"/>
          <w:szCs w:val="26"/>
        </w:rPr>
        <w:t>En outre, les personnes morales, autres que l'Etat, peuvent être condamnées ainsi aux mêmes peines citée</w:t>
      </w:r>
      <w:r w:rsidR="00EB24A4" w:rsidRPr="004A6E37">
        <w:rPr>
          <w:rFonts w:ascii="Times New Roman" w:hAnsi="Times New Roman" w:cs="Times New Roman"/>
          <w:sz w:val="24"/>
          <w:szCs w:val="26"/>
        </w:rPr>
        <w:t>s</w:t>
      </w:r>
      <w:r w:rsidRPr="004A6E37">
        <w:rPr>
          <w:rFonts w:ascii="Times New Roman" w:hAnsi="Times New Roman" w:cs="Times New Roman"/>
          <w:sz w:val="24"/>
          <w:szCs w:val="26"/>
        </w:rPr>
        <w:t xml:space="preserve"> à l’article 124 relative au blanchiment de capitaux. </w:t>
      </w:r>
    </w:p>
    <w:p w14:paraId="1318F8F1" w14:textId="77777777" w:rsidR="00382CFA" w:rsidRPr="004A6E37" w:rsidRDefault="00382CFA" w:rsidP="002E0285">
      <w:pPr>
        <w:spacing w:before="120" w:line="360" w:lineRule="auto"/>
        <w:jc w:val="both"/>
        <w:rPr>
          <w:rFonts w:ascii="Times New Roman" w:hAnsi="Times New Roman" w:cs="Times New Roman"/>
          <w:sz w:val="24"/>
          <w:szCs w:val="26"/>
        </w:rPr>
      </w:pPr>
    </w:p>
    <w:p w14:paraId="4012EF3F" w14:textId="77777777" w:rsidR="009B7F30" w:rsidRPr="004A6E37" w:rsidRDefault="00BF1458" w:rsidP="00B072FC">
      <w:pPr>
        <w:rPr>
          <w:rFonts w:ascii="Times New Roman" w:hAnsi="Times New Roman" w:cs="Times New Roman"/>
          <w:b/>
          <w:sz w:val="24"/>
          <w:szCs w:val="24"/>
        </w:rPr>
      </w:pPr>
      <w:r w:rsidRPr="004A6E37">
        <w:rPr>
          <w:rFonts w:ascii="Times New Roman" w:hAnsi="Times New Roman" w:cs="Times New Roman"/>
          <w:sz w:val="24"/>
          <w:szCs w:val="24"/>
        </w:rPr>
        <w:lastRenderedPageBreak/>
        <w:t xml:space="preserve"> </w:t>
      </w:r>
      <w:r w:rsidR="00AF6ACD" w:rsidRPr="004A6E37">
        <w:rPr>
          <w:rFonts w:ascii="Times New Roman" w:hAnsi="Times New Roman" w:cs="Times New Roman"/>
          <w:b/>
          <w:sz w:val="24"/>
          <w:szCs w:val="24"/>
        </w:rPr>
        <w:t xml:space="preserve">V. COOPERATION </w:t>
      </w:r>
    </w:p>
    <w:p w14:paraId="3171187B" w14:textId="77777777" w:rsidR="009B7F30" w:rsidRPr="004A6E37" w:rsidRDefault="002E2BE8" w:rsidP="001F564C">
      <w:pPr>
        <w:pStyle w:val="Titre3"/>
        <w:numPr>
          <w:ilvl w:val="0"/>
          <w:numId w:val="0"/>
        </w:numPr>
        <w:ind w:left="720" w:hanging="720"/>
        <w:rPr>
          <w:sz w:val="24"/>
          <w:szCs w:val="24"/>
        </w:rPr>
      </w:pPr>
      <w:bookmarkStart w:id="56" w:name="_Toc126251883"/>
      <w:r w:rsidRPr="004A6E37">
        <w:rPr>
          <w:sz w:val="24"/>
          <w:szCs w:val="24"/>
        </w:rPr>
        <w:t>5.1. Entraide judiciaire</w:t>
      </w:r>
      <w:bookmarkEnd w:id="56"/>
    </w:p>
    <w:p w14:paraId="5AC5034B" w14:textId="77777777" w:rsidR="00592C50" w:rsidRPr="004A6E37" w:rsidRDefault="00AD4DE9"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shd w:val="clear" w:color="auto" w:fill="FFFFFF"/>
        </w:rPr>
        <w:t xml:space="preserve"> </w:t>
      </w:r>
      <w:r w:rsidRPr="004A6E37">
        <w:rPr>
          <w:rFonts w:ascii="Times New Roman" w:hAnsi="Times New Roman" w:cs="Times New Roman"/>
          <w:sz w:val="24"/>
          <w:szCs w:val="24"/>
        </w:rPr>
        <w:t xml:space="preserve">L'entraide judiciaire </w:t>
      </w:r>
      <w:r w:rsidR="00592C50" w:rsidRPr="004A6E37">
        <w:rPr>
          <w:rFonts w:ascii="Times New Roman" w:hAnsi="Times New Roman" w:cs="Times New Roman"/>
          <w:sz w:val="24"/>
          <w:szCs w:val="24"/>
        </w:rPr>
        <w:t xml:space="preserve">est règlementée au Mali par </w:t>
      </w:r>
      <w:r w:rsidR="00EA7D93" w:rsidRPr="004A6E37">
        <w:rPr>
          <w:rFonts w:ascii="Times New Roman" w:hAnsi="Times New Roman" w:cs="Times New Roman"/>
          <w:sz w:val="24"/>
          <w:szCs w:val="24"/>
        </w:rPr>
        <w:t xml:space="preserve">les </w:t>
      </w:r>
      <w:r w:rsidR="00592C50" w:rsidRPr="004A6E37">
        <w:rPr>
          <w:rFonts w:ascii="Times New Roman" w:hAnsi="Times New Roman" w:cs="Times New Roman"/>
          <w:sz w:val="24"/>
          <w:szCs w:val="24"/>
        </w:rPr>
        <w:t xml:space="preserve">trois types de </w:t>
      </w:r>
      <w:r w:rsidRPr="004A6E37">
        <w:rPr>
          <w:rFonts w:ascii="Times New Roman" w:hAnsi="Times New Roman" w:cs="Times New Roman"/>
          <w:sz w:val="24"/>
          <w:szCs w:val="24"/>
        </w:rPr>
        <w:t>conventions</w:t>
      </w:r>
      <w:r w:rsidR="00592C50" w:rsidRPr="004A6E37">
        <w:rPr>
          <w:rFonts w:ascii="Times New Roman" w:hAnsi="Times New Roman" w:cs="Times New Roman"/>
          <w:sz w:val="24"/>
          <w:szCs w:val="24"/>
        </w:rPr>
        <w:t xml:space="preserve"> qui sont:</w:t>
      </w:r>
    </w:p>
    <w:p w14:paraId="531C4191" w14:textId="77777777" w:rsidR="00592C50" w:rsidRPr="004A6E37" w:rsidRDefault="00A90555" w:rsidP="00920BFE">
      <w:pPr>
        <w:pStyle w:val="Paragraphedeliste"/>
        <w:numPr>
          <w:ilvl w:val="0"/>
          <w:numId w:val="31"/>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les conventions</w:t>
      </w:r>
      <w:r w:rsidR="00592C50" w:rsidRPr="004A6E37">
        <w:rPr>
          <w:rFonts w:ascii="Times New Roman" w:hAnsi="Times New Roman" w:cs="Times New Roman"/>
          <w:sz w:val="24"/>
          <w:szCs w:val="24"/>
        </w:rPr>
        <w:t xml:space="preserve"> des Nations Unies ;</w:t>
      </w:r>
    </w:p>
    <w:p w14:paraId="7E0C3209" w14:textId="77777777" w:rsidR="00592C50" w:rsidRPr="004A6E37" w:rsidRDefault="00A90555" w:rsidP="00920BFE">
      <w:pPr>
        <w:pStyle w:val="Paragraphedeliste"/>
        <w:numPr>
          <w:ilvl w:val="0"/>
          <w:numId w:val="31"/>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les conventions</w:t>
      </w:r>
      <w:r w:rsidR="00592C50" w:rsidRPr="004A6E37">
        <w:rPr>
          <w:rFonts w:ascii="Times New Roman" w:hAnsi="Times New Roman" w:cs="Times New Roman"/>
          <w:sz w:val="24"/>
          <w:szCs w:val="24"/>
        </w:rPr>
        <w:t xml:space="preserve"> intervenues sur le plan régional ;</w:t>
      </w:r>
    </w:p>
    <w:p w14:paraId="34E885B8" w14:textId="77777777" w:rsidR="00AD4DE9" w:rsidRPr="004A6E37" w:rsidRDefault="00592C50" w:rsidP="00920BFE">
      <w:pPr>
        <w:pStyle w:val="Paragraphedeliste"/>
        <w:numPr>
          <w:ilvl w:val="0"/>
          <w:numId w:val="31"/>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les conventions générale</w:t>
      </w:r>
      <w:r w:rsidR="00252EF3" w:rsidRPr="004A6E37">
        <w:rPr>
          <w:rFonts w:ascii="Times New Roman" w:hAnsi="Times New Roman" w:cs="Times New Roman"/>
          <w:sz w:val="24"/>
          <w:szCs w:val="24"/>
        </w:rPr>
        <w:t>s bilatérales et de coopération</w:t>
      </w:r>
      <w:r w:rsidRPr="004A6E37">
        <w:rPr>
          <w:rFonts w:ascii="Times New Roman" w:hAnsi="Times New Roman" w:cs="Times New Roman"/>
          <w:sz w:val="24"/>
          <w:szCs w:val="24"/>
        </w:rPr>
        <w:t xml:space="preserve"> judiciaire intervenues entre le Mali et les autres Nations.  </w:t>
      </w:r>
    </w:p>
    <w:p w14:paraId="575EC6D3" w14:textId="77777777" w:rsidR="00451DF2" w:rsidRPr="004A6E37" w:rsidRDefault="00592C50"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b/>
          <w:sz w:val="24"/>
          <w:szCs w:val="24"/>
        </w:rPr>
        <w:t xml:space="preserve">5.1.1. </w:t>
      </w:r>
      <w:r w:rsidR="006301B0" w:rsidRPr="004A6E37">
        <w:rPr>
          <w:rFonts w:ascii="Times New Roman" w:hAnsi="Times New Roman" w:cs="Times New Roman"/>
          <w:b/>
          <w:sz w:val="24"/>
          <w:szCs w:val="24"/>
        </w:rPr>
        <w:t xml:space="preserve">Les </w:t>
      </w:r>
      <w:r w:rsidRPr="004A6E37">
        <w:rPr>
          <w:rFonts w:ascii="Times New Roman" w:hAnsi="Times New Roman" w:cs="Times New Roman"/>
          <w:b/>
          <w:sz w:val="24"/>
          <w:szCs w:val="24"/>
        </w:rPr>
        <w:t>Nations Unies :</w:t>
      </w:r>
      <w:r w:rsidR="0006462C" w:rsidRPr="004A6E37">
        <w:rPr>
          <w:rFonts w:ascii="Times New Roman" w:hAnsi="Times New Roman" w:cs="Times New Roman"/>
          <w:sz w:val="24"/>
          <w:szCs w:val="24"/>
        </w:rPr>
        <w:t xml:space="preserve"> C</w:t>
      </w:r>
      <w:r w:rsidRPr="004A6E37">
        <w:rPr>
          <w:rFonts w:ascii="Times New Roman" w:hAnsi="Times New Roman" w:cs="Times New Roman"/>
          <w:sz w:val="24"/>
          <w:szCs w:val="24"/>
        </w:rPr>
        <w:t>ette</w:t>
      </w:r>
      <w:r w:rsidR="00AD4DE9" w:rsidRPr="004A6E37">
        <w:rPr>
          <w:rFonts w:ascii="Times New Roman" w:hAnsi="Times New Roman" w:cs="Times New Roman"/>
          <w:sz w:val="24"/>
          <w:szCs w:val="24"/>
        </w:rPr>
        <w:t xml:space="preserve"> convention</w:t>
      </w:r>
      <w:r w:rsidRPr="004A6E37">
        <w:rPr>
          <w:rFonts w:ascii="Times New Roman" w:hAnsi="Times New Roman" w:cs="Times New Roman"/>
          <w:sz w:val="24"/>
          <w:szCs w:val="24"/>
        </w:rPr>
        <w:t xml:space="preserve"> qui date de l’année 2000 est relative à la</w:t>
      </w:r>
      <w:r w:rsidR="00AD4DE9" w:rsidRPr="004A6E37">
        <w:rPr>
          <w:rFonts w:ascii="Times New Roman" w:hAnsi="Times New Roman" w:cs="Times New Roman"/>
          <w:sz w:val="24"/>
          <w:szCs w:val="24"/>
        </w:rPr>
        <w:t xml:space="preserve"> lutte contre la criminalité</w:t>
      </w:r>
      <w:r w:rsidRPr="004A6E37">
        <w:rPr>
          <w:rFonts w:ascii="Times New Roman" w:hAnsi="Times New Roman" w:cs="Times New Roman"/>
          <w:sz w:val="24"/>
          <w:szCs w:val="24"/>
        </w:rPr>
        <w:t xml:space="preserve"> transnationale organisée</w:t>
      </w:r>
      <w:r w:rsidR="00AD4DE9" w:rsidRPr="004A6E37">
        <w:rPr>
          <w:rFonts w:ascii="Times New Roman" w:hAnsi="Times New Roman" w:cs="Times New Roman"/>
          <w:sz w:val="24"/>
          <w:szCs w:val="24"/>
        </w:rPr>
        <w:t>.  </w:t>
      </w:r>
    </w:p>
    <w:p w14:paraId="69FE6477" w14:textId="77777777" w:rsidR="00451DF2" w:rsidRPr="004A6E37" w:rsidRDefault="00725136"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Selon cette convention d</w:t>
      </w:r>
      <w:r w:rsidR="00451DF2" w:rsidRPr="004A6E37">
        <w:rPr>
          <w:rFonts w:ascii="Times New Roman" w:hAnsi="Times New Roman" w:cs="Times New Roman"/>
          <w:sz w:val="24"/>
          <w:szCs w:val="24"/>
        </w:rPr>
        <w:t>es Nations Unies</w:t>
      </w:r>
      <w:r w:rsidRPr="004A6E37">
        <w:rPr>
          <w:rFonts w:ascii="Times New Roman" w:hAnsi="Times New Roman" w:cs="Times New Roman"/>
          <w:sz w:val="24"/>
          <w:szCs w:val="24"/>
        </w:rPr>
        <w:t xml:space="preserve">, </w:t>
      </w:r>
      <w:r w:rsidR="00451DF2" w:rsidRPr="004A6E37">
        <w:rPr>
          <w:rFonts w:ascii="Times New Roman" w:hAnsi="Times New Roman" w:cs="Times New Roman"/>
          <w:sz w:val="24"/>
          <w:szCs w:val="24"/>
        </w:rPr>
        <w:t>en l'absence de convention de coopération entre eux, deux pays</w:t>
      </w:r>
      <w:r w:rsidR="00B72F92" w:rsidRPr="004A6E37">
        <w:rPr>
          <w:rFonts w:ascii="Times New Roman" w:hAnsi="Times New Roman" w:cs="Times New Roman"/>
          <w:sz w:val="24"/>
          <w:szCs w:val="24"/>
        </w:rPr>
        <w:t xml:space="preserve"> peuvent</w:t>
      </w:r>
      <w:r w:rsidR="00451DF2" w:rsidRPr="004A6E37">
        <w:rPr>
          <w:rFonts w:ascii="Times New Roman" w:hAnsi="Times New Roman" w:cs="Times New Roman"/>
          <w:sz w:val="24"/>
          <w:szCs w:val="24"/>
        </w:rPr>
        <w:t xml:space="preserve"> invoquer le principe de la réciprocité qui</w:t>
      </w:r>
      <w:r w:rsidR="002F78E4" w:rsidRPr="004A6E37">
        <w:rPr>
          <w:rFonts w:ascii="Times New Roman" w:hAnsi="Times New Roman" w:cs="Times New Roman"/>
          <w:sz w:val="24"/>
          <w:szCs w:val="24"/>
        </w:rPr>
        <w:t xml:space="preserve"> est un principe universel en</w:t>
      </w:r>
      <w:r w:rsidR="00451DF2" w:rsidRPr="004A6E37">
        <w:rPr>
          <w:rFonts w:ascii="Times New Roman" w:hAnsi="Times New Roman" w:cs="Times New Roman"/>
          <w:sz w:val="24"/>
          <w:szCs w:val="24"/>
        </w:rPr>
        <w:t xml:space="preserve"> matière de coopération judiciaire.</w:t>
      </w:r>
    </w:p>
    <w:p w14:paraId="5F6124EF" w14:textId="77777777" w:rsidR="00D60C5E" w:rsidRPr="004A6E37" w:rsidRDefault="00592C50"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b/>
          <w:sz w:val="24"/>
          <w:szCs w:val="24"/>
        </w:rPr>
        <w:t>5.1.2</w:t>
      </w:r>
      <w:r w:rsidRPr="004A6E37">
        <w:rPr>
          <w:rFonts w:ascii="Times New Roman" w:hAnsi="Times New Roman" w:cs="Times New Roman"/>
          <w:sz w:val="24"/>
          <w:szCs w:val="24"/>
        </w:rPr>
        <w:t>.</w:t>
      </w:r>
      <w:r w:rsidR="00D60C5E" w:rsidRPr="004A6E37">
        <w:rPr>
          <w:rFonts w:ascii="Times New Roman" w:hAnsi="Times New Roman" w:cs="Times New Roman"/>
          <w:sz w:val="24"/>
          <w:szCs w:val="24"/>
        </w:rPr>
        <w:t xml:space="preserve"> </w:t>
      </w:r>
      <w:r w:rsidRPr="004A6E37">
        <w:rPr>
          <w:rFonts w:ascii="Times New Roman" w:hAnsi="Times New Roman" w:cs="Times New Roman"/>
          <w:b/>
          <w:sz w:val="24"/>
          <w:szCs w:val="24"/>
        </w:rPr>
        <w:t>Le plan régional :</w:t>
      </w:r>
      <w:r w:rsidRPr="004A6E37">
        <w:rPr>
          <w:rFonts w:ascii="Times New Roman" w:hAnsi="Times New Roman" w:cs="Times New Roman"/>
          <w:sz w:val="24"/>
          <w:szCs w:val="24"/>
        </w:rPr>
        <w:t xml:space="preserve"> </w:t>
      </w:r>
      <w:r w:rsidR="00D60C5E" w:rsidRPr="004A6E37">
        <w:rPr>
          <w:rFonts w:ascii="Times New Roman" w:hAnsi="Times New Roman" w:cs="Times New Roman"/>
          <w:sz w:val="24"/>
          <w:szCs w:val="24"/>
        </w:rPr>
        <w:t>A l'échelle du continent</w:t>
      </w:r>
      <w:r w:rsidR="00AD4DE9" w:rsidRPr="004A6E37">
        <w:rPr>
          <w:rFonts w:ascii="Times New Roman" w:hAnsi="Times New Roman" w:cs="Times New Roman"/>
          <w:sz w:val="24"/>
          <w:szCs w:val="24"/>
        </w:rPr>
        <w:t>, il y a deux convention</w:t>
      </w:r>
      <w:r w:rsidR="00D60C5E" w:rsidRPr="004A6E37">
        <w:rPr>
          <w:rFonts w:ascii="Times New Roman" w:hAnsi="Times New Roman" w:cs="Times New Roman"/>
          <w:sz w:val="24"/>
          <w:szCs w:val="24"/>
        </w:rPr>
        <w:t>s</w:t>
      </w:r>
      <w:r w:rsidR="00AD4DE9" w:rsidRPr="004A6E37">
        <w:rPr>
          <w:rFonts w:ascii="Times New Roman" w:hAnsi="Times New Roman" w:cs="Times New Roman"/>
          <w:sz w:val="24"/>
          <w:szCs w:val="24"/>
        </w:rPr>
        <w:t xml:space="preserve"> de la</w:t>
      </w:r>
      <w:r w:rsidR="006301B0" w:rsidRPr="004A6E37">
        <w:rPr>
          <w:rFonts w:ascii="Times New Roman" w:eastAsia="Times New Roman" w:hAnsi="Times New Roman" w:cs="Times New Roman"/>
          <w:sz w:val="24"/>
          <w:szCs w:val="24"/>
          <w:lang w:eastAsia="fr-FR"/>
        </w:rPr>
        <w:t xml:space="preserve"> Communauté Economique des Etats de l’Afrique de l’Ouest</w:t>
      </w:r>
      <w:r w:rsidR="00AD4DE9" w:rsidRPr="004A6E37">
        <w:rPr>
          <w:rFonts w:ascii="Times New Roman" w:hAnsi="Times New Roman" w:cs="Times New Roman"/>
          <w:sz w:val="24"/>
          <w:szCs w:val="24"/>
        </w:rPr>
        <w:t xml:space="preserve"> </w:t>
      </w:r>
      <w:r w:rsidR="006301B0" w:rsidRPr="004A6E37">
        <w:rPr>
          <w:rFonts w:ascii="Times New Roman" w:hAnsi="Times New Roman" w:cs="Times New Roman"/>
          <w:sz w:val="24"/>
          <w:szCs w:val="24"/>
        </w:rPr>
        <w:t>(</w:t>
      </w:r>
      <w:r w:rsidR="00AD4DE9" w:rsidRPr="004A6E37">
        <w:rPr>
          <w:rFonts w:ascii="Times New Roman" w:hAnsi="Times New Roman" w:cs="Times New Roman"/>
          <w:sz w:val="24"/>
          <w:szCs w:val="24"/>
        </w:rPr>
        <w:t>CEDEAO</w:t>
      </w:r>
      <w:r w:rsidR="006301B0" w:rsidRPr="004A6E37">
        <w:rPr>
          <w:rFonts w:ascii="Times New Roman" w:hAnsi="Times New Roman" w:cs="Times New Roman"/>
          <w:sz w:val="24"/>
          <w:szCs w:val="24"/>
        </w:rPr>
        <w:t>)</w:t>
      </w:r>
      <w:r w:rsidRPr="004A6E37">
        <w:rPr>
          <w:rFonts w:ascii="Times New Roman" w:hAnsi="Times New Roman" w:cs="Times New Roman"/>
          <w:sz w:val="24"/>
          <w:szCs w:val="24"/>
        </w:rPr>
        <w:t xml:space="preserve"> dont</w:t>
      </w:r>
      <w:r w:rsidR="00AD4DE9" w:rsidRPr="004A6E37">
        <w:rPr>
          <w:rFonts w:ascii="Times New Roman" w:hAnsi="Times New Roman" w:cs="Times New Roman"/>
          <w:sz w:val="24"/>
          <w:szCs w:val="24"/>
        </w:rPr>
        <w:t xml:space="preserve"> </w:t>
      </w:r>
      <w:r w:rsidR="00D60C5E" w:rsidRPr="004A6E37">
        <w:rPr>
          <w:rFonts w:ascii="Times New Roman" w:hAnsi="Times New Roman" w:cs="Times New Roman"/>
          <w:sz w:val="24"/>
          <w:szCs w:val="24"/>
        </w:rPr>
        <w:t>l'une contre la corruption et</w:t>
      </w:r>
      <w:r w:rsidR="00AD4DE9" w:rsidRPr="004A6E37">
        <w:rPr>
          <w:rFonts w:ascii="Times New Roman" w:hAnsi="Times New Roman" w:cs="Times New Roman"/>
          <w:sz w:val="24"/>
          <w:szCs w:val="24"/>
        </w:rPr>
        <w:t xml:space="preserve"> le</w:t>
      </w:r>
      <w:r w:rsidR="00D60C5E" w:rsidRPr="004A6E37">
        <w:rPr>
          <w:rFonts w:ascii="Times New Roman" w:hAnsi="Times New Roman" w:cs="Times New Roman"/>
          <w:sz w:val="24"/>
          <w:szCs w:val="24"/>
        </w:rPr>
        <w:t xml:space="preserve"> financement du</w:t>
      </w:r>
      <w:r w:rsidR="00AD4DE9" w:rsidRPr="004A6E37">
        <w:rPr>
          <w:rFonts w:ascii="Times New Roman" w:hAnsi="Times New Roman" w:cs="Times New Roman"/>
          <w:sz w:val="24"/>
          <w:szCs w:val="24"/>
        </w:rPr>
        <w:t xml:space="preserve"> terrorisme (1992) et l'autre en ma</w:t>
      </w:r>
      <w:r w:rsidR="003E6AA3" w:rsidRPr="004A6E37">
        <w:rPr>
          <w:rFonts w:ascii="Times New Roman" w:hAnsi="Times New Roman" w:cs="Times New Roman"/>
          <w:sz w:val="24"/>
          <w:szCs w:val="24"/>
        </w:rPr>
        <w:t>tière d'extradition (1994).    </w:t>
      </w:r>
    </w:p>
    <w:p w14:paraId="2CD2E0C2" w14:textId="77777777" w:rsidR="00592C50" w:rsidRPr="004A6E37" w:rsidRDefault="00592C50" w:rsidP="0080074E">
      <w:pPr>
        <w:spacing w:before="120"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 xml:space="preserve">5.1.3. </w:t>
      </w:r>
      <w:r w:rsidR="006301B0" w:rsidRPr="004A6E37">
        <w:rPr>
          <w:rFonts w:ascii="Times New Roman" w:hAnsi="Times New Roman" w:cs="Times New Roman"/>
          <w:b/>
          <w:sz w:val="24"/>
          <w:szCs w:val="24"/>
        </w:rPr>
        <w:t xml:space="preserve">Les </w:t>
      </w:r>
      <w:r w:rsidRPr="004A6E37">
        <w:rPr>
          <w:rFonts w:ascii="Times New Roman" w:hAnsi="Times New Roman" w:cs="Times New Roman"/>
          <w:b/>
          <w:sz w:val="24"/>
          <w:szCs w:val="24"/>
        </w:rPr>
        <w:t>Conventions générale</w:t>
      </w:r>
      <w:r w:rsidR="001D6BAF" w:rsidRPr="004A6E37">
        <w:rPr>
          <w:rFonts w:ascii="Times New Roman" w:hAnsi="Times New Roman" w:cs="Times New Roman"/>
          <w:b/>
          <w:sz w:val="24"/>
          <w:szCs w:val="24"/>
        </w:rPr>
        <w:t>s bilatérales et de coopération</w:t>
      </w:r>
      <w:r w:rsidRPr="004A6E37">
        <w:rPr>
          <w:rFonts w:ascii="Times New Roman" w:hAnsi="Times New Roman" w:cs="Times New Roman"/>
          <w:b/>
          <w:sz w:val="24"/>
          <w:szCs w:val="24"/>
        </w:rPr>
        <w:t xml:space="preserve"> judiciaire :</w:t>
      </w:r>
    </w:p>
    <w:p w14:paraId="31053696" w14:textId="77777777" w:rsidR="004C3EF5" w:rsidRPr="004A6E37" w:rsidRDefault="00AD4DE9"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La con</w:t>
      </w:r>
      <w:r w:rsidR="004C3EF5" w:rsidRPr="004A6E37">
        <w:rPr>
          <w:rFonts w:ascii="Times New Roman" w:hAnsi="Times New Roman" w:cs="Times New Roman"/>
          <w:sz w:val="24"/>
          <w:szCs w:val="24"/>
        </w:rPr>
        <w:t>vention Mali-Niger-Tchad (2017) :</w:t>
      </w:r>
      <w:r w:rsidR="00462ADD" w:rsidRPr="004A6E37">
        <w:rPr>
          <w:rFonts w:ascii="Times New Roman" w:hAnsi="Times New Roman" w:cs="Times New Roman"/>
          <w:sz w:val="24"/>
          <w:szCs w:val="24"/>
        </w:rPr>
        <w:t xml:space="preserve"> La particularité de celle-ci </w:t>
      </w:r>
      <w:r w:rsidRPr="004A6E37">
        <w:rPr>
          <w:rFonts w:ascii="Times New Roman" w:hAnsi="Times New Roman" w:cs="Times New Roman"/>
          <w:sz w:val="24"/>
          <w:szCs w:val="24"/>
        </w:rPr>
        <w:t>est qu</w:t>
      </w:r>
      <w:r w:rsidR="00D60C5E" w:rsidRPr="004A6E37">
        <w:rPr>
          <w:rFonts w:ascii="Times New Roman" w:hAnsi="Times New Roman" w:cs="Times New Roman"/>
          <w:sz w:val="24"/>
          <w:szCs w:val="24"/>
        </w:rPr>
        <w:t>’</w:t>
      </w:r>
      <w:r w:rsidRPr="004A6E37">
        <w:rPr>
          <w:rFonts w:ascii="Times New Roman" w:hAnsi="Times New Roman" w:cs="Times New Roman"/>
          <w:sz w:val="24"/>
          <w:szCs w:val="24"/>
        </w:rPr>
        <w:t>elle offre des mécanismes qui ne sont pas prévus par les autres conventions notamment le transfert de procédure et les enquêtes conjointes entre pays signataires.</w:t>
      </w:r>
    </w:p>
    <w:p w14:paraId="300BF69A" w14:textId="77777777" w:rsidR="00451DF2" w:rsidRPr="004A6E37" w:rsidRDefault="00451DF2"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w:t>
      </w:r>
      <w:r w:rsidR="00D60C5E" w:rsidRPr="004A6E37">
        <w:rPr>
          <w:rFonts w:ascii="Times New Roman" w:hAnsi="Times New Roman" w:cs="Times New Roman"/>
          <w:sz w:val="24"/>
          <w:szCs w:val="24"/>
        </w:rPr>
        <w:t>convention</w:t>
      </w:r>
      <w:r w:rsidRPr="004A6E37">
        <w:rPr>
          <w:rFonts w:ascii="Times New Roman" w:hAnsi="Times New Roman" w:cs="Times New Roman"/>
          <w:sz w:val="24"/>
          <w:szCs w:val="24"/>
        </w:rPr>
        <w:t>s</w:t>
      </w:r>
      <w:r w:rsidR="00AD4DE9" w:rsidRPr="004A6E37">
        <w:rPr>
          <w:rFonts w:ascii="Times New Roman" w:hAnsi="Times New Roman" w:cs="Times New Roman"/>
          <w:sz w:val="24"/>
          <w:szCs w:val="24"/>
        </w:rPr>
        <w:t xml:space="preserve"> générale</w:t>
      </w:r>
      <w:r w:rsidRPr="004A6E37">
        <w:rPr>
          <w:rFonts w:ascii="Times New Roman" w:hAnsi="Times New Roman" w:cs="Times New Roman"/>
          <w:sz w:val="24"/>
          <w:szCs w:val="24"/>
        </w:rPr>
        <w:t>s</w:t>
      </w:r>
      <w:r w:rsidR="00AD4DE9" w:rsidRPr="004A6E37">
        <w:rPr>
          <w:rFonts w:ascii="Times New Roman" w:hAnsi="Times New Roman" w:cs="Times New Roman"/>
          <w:sz w:val="24"/>
          <w:szCs w:val="24"/>
        </w:rPr>
        <w:t xml:space="preserve"> </w:t>
      </w:r>
      <w:r w:rsidR="00D60C5E" w:rsidRPr="004A6E37">
        <w:rPr>
          <w:rFonts w:ascii="Times New Roman" w:hAnsi="Times New Roman" w:cs="Times New Roman"/>
          <w:sz w:val="24"/>
          <w:szCs w:val="24"/>
        </w:rPr>
        <w:t>et bilatérale</w:t>
      </w:r>
      <w:r w:rsidRPr="004A6E37">
        <w:rPr>
          <w:rFonts w:ascii="Times New Roman" w:hAnsi="Times New Roman" w:cs="Times New Roman"/>
          <w:sz w:val="24"/>
          <w:szCs w:val="24"/>
        </w:rPr>
        <w:t>s</w:t>
      </w:r>
      <w:r w:rsidR="00AD4DE9" w:rsidRPr="004A6E37">
        <w:rPr>
          <w:rFonts w:ascii="Times New Roman" w:hAnsi="Times New Roman" w:cs="Times New Roman"/>
          <w:sz w:val="24"/>
          <w:szCs w:val="24"/>
        </w:rPr>
        <w:t xml:space="preserve"> signées entre le Mali et plusieurs autres pays dès les premiè</w:t>
      </w:r>
      <w:r w:rsidR="00FB217F" w:rsidRPr="004A6E37">
        <w:rPr>
          <w:rFonts w:ascii="Times New Roman" w:hAnsi="Times New Roman" w:cs="Times New Roman"/>
          <w:sz w:val="24"/>
          <w:szCs w:val="24"/>
        </w:rPr>
        <w:t>res années de</w:t>
      </w:r>
      <w:r w:rsidR="004C3EF5" w:rsidRPr="004A6E37">
        <w:rPr>
          <w:rFonts w:ascii="Times New Roman" w:hAnsi="Times New Roman" w:cs="Times New Roman"/>
          <w:sz w:val="24"/>
          <w:szCs w:val="24"/>
        </w:rPr>
        <w:t xml:space="preserve"> </w:t>
      </w:r>
      <w:r w:rsidR="00FB217F" w:rsidRPr="004A6E37">
        <w:rPr>
          <w:rFonts w:ascii="Times New Roman" w:hAnsi="Times New Roman" w:cs="Times New Roman"/>
          <w:sz w:val="24"/>
          <w:szCs w:val="24"/>
        </w:rPr>
        <w:t>l’indépendance du Mali</w:t>
      </w:r>
      <w:r w:rsidR="00D56C88" w:rsidRPr="004A6E37">
        <w:rPr>
          <w:rFonts w:ascii="Times New Roman" w:hAnsi="Times New Roman" w:cs="Times New Roman"/>
          <w:sz w:val="24"/>
          <w:szCs w:val="24"/>
        </w:rPr>
        <w:t xml:space="preserve"> ; à savoir </w:t>
      </w:r>
      <w:r w:rsidR="00AD4DE9" w:rsidRPr="004A6E37">
        <w:rPr>
          <w:rFonts w:ascii="Times New Roman" w:hAnsi="Times New Roman" w:cs="Times New Roman"/>
          <w:sz w:val="24"/>
          <w:szCs w:val="24"/>
        </w:rPr>
        <w:t>la France,</w:t>
      </w:r>
      <w:r w:rsidR="00F17910" w:rsidRPr="004A6E37">
        <w:rPr>
          <w:rFonts w:ascii="Times New Roman" w:hAnsi="Times New Roman" w:cs="Times New Roman"/>
          <w:sz w:val="24"/>
          <w:szCs w:val="24"/>
        </w:rPr>
        <w:t xml:space="preserve"> la F</w:t>
      </w:r>
      <w:r w:rsidR="004C3EF5" w:rsidRPr="004A6E37">
        <w:rPr>
          <w:rFonts w:ascii="Times New Roman" w:hAnsi="Times New Roman" w:cs="Times New Roman"/>
          <w:sz w:val="24"/>
          <w:szCs w:val="24"/>
        </w:rPr>
        <w:t>édération de Russie, le Cameroun, le Congo Brazzaville, le Ghana, le Niger, la Tunisie, la C</w:t>
      </w:r>
      <w:r w:rsidR="00AD4DE9" w:rsidRPr="004A6E37">
        <w:rPr>
          <w:rFonts w:ascii="Times New Roman" w:hAnsi="Times New Roman" w:cs="Times New Roman"/>
          <w:sz w:val="24"/>
          <w:szCs w:val="24"/>
        </w:rPr>
        <w:t xml:space="preserve">ôte </w:t>
      </w:r>
      <w:r w:rsidR="005C502D" w:rsidRPr="004A6E37">
        <w:rPr>
          <w:rFonts w:ascii="Times New Roman" w:hAnsi="Times New Roman" w:cs="Times New Roman"/>
          <w:sz w:val="24"/>
          <w:szCs w:val="24"/>
        </w:rPr>
        <w:t>d'ivoire, la Guinée Conakry, l’</w:t>
      </w:r>
      <w:r w:rsidR="004C3EF5" w:rsidRPr="004A6E37">
        <w:rPr>
          <w:rFonts w:ascii="Times New Roman" w:hAnsi="Times New Roman" w:cs="Times New Roman"/>
          <w:sz w:val="24"/>
          <w:szCs w:val="24"/>
        </w:rPr>
        <w:t>Algérie, le Sénégal</w:t>
      </w:r>
      <w:r w:rsidR="005C502D" w:rsidRPr="004A6E37">
        <w:rPr>
          <w:rFonts w:ascii="Times New Roman" w:hAnsi="Times New Roman" w:cs="Times New Roman"/>
          <w:sz w:val="24"/>
          <w:szCs w:val="24"/>
        </w:rPr>
        <w:t>,</w:t>
      </w:r>
      <w:r w:rsidR="004C3EF5" w:rsidRPr="004A6E37">
        <w:rPr>
          <w:rFonts w:ascii="Times New Roman" w:hAnsi="Times New Roman" w:cs="Times New Roman"/>
          <w:sz w:val="24"/>
          <w:szCs w:val="24"/>
        </w:rPr>
        <w:t xml:space="preserve"> </w:t>
      </w:r>
      <w:proofErr w:type="gramStart"/>
      <w:r w:rsidR="004C3EF5" w:rsidRPr="004A6E37">
        <w:rPr>
          <w:rFonts w:ascii="Times New Roman" w:hAnsi="Times New Roman" w:cs="Times New Roman"/>
          <w:sz w:val="24"/>
          <w:szCs w:val="24"/>
        </w:rPr>
        <w:t>etc.</w:t>
      </w:r>
      <w:r w:rsidR="00AD4DE9" w:rsidRPr="004A6E37">
        <w:rPr>
          <w:rFonts w:ascii="Times New Roman" w:hAnsi="Times New Roman" w:cs="Times New Roman"/>
          <w:sz w:val="24"/>
          <w:szCs w:val="24"/>
        </w:rPr>
        <w:t>.</w:t>
      </w:r>
      <w:proofErr w:type="gramEnd"/>
      <w:r w:rsidR="00AD4DE9" w:rsidRPr="004A6E37">
        <w:rPr>
          <w:rFonts w:ascii="Times New Roman" w:hAnsi="Times New Roman" w:cs="Times New Roman"/>
          <w:sz w:val="24"/>
          <w:szCs w:val="24"/>
        </w:rPr>
        <w:t xml:space="preserve"> </w:t>
      </w:r>
    </w:p>
    <w:p w14:paraId="5600512E" w14:textId="77777777" w:rsidR="00451DF2" w:rsidRPr="004A6E37" w:rsidRDefault="00AD4DE9"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Avec </w:t>
      </w:r>
      <w:r w:rsidR="00451DF2" w:rsidRPr="004A6E37">
        <w:rPr>
          <w:rFonts w:ascii="Times New Roman" w:hAnsi="Times New Roman" w:cs="Times New Roman"/>
          <w:sz w:val="24"/>
          <w:szCs w:val="24"/>
        </w:rPr>
        <w:t>le Sénégal</w:t>
      </w:r>
      <w:r w:rsidRPr="004A6E37">
        <w:rPr>
          <w:rFonts w:ascii="Times New Roman" w:hAnsi="Times New Roman" w:cs="Times New Roman"/>
          <w:sz w:val="24"/>
          <w:szCs w:val="24"/>
        </w:rPr>
        <w:t>, il y a eu une mise à jour récente en matière civile, de coopération pénale, d'extradition et de transfert de condamnés. </w:t>
      </w:r>
    </w:p>
    <w:p w14:paraId="65372661" w14:textId="77777777" w:rsidR="009B7F30" w:rsidRPr="004A6E37" w:rsidRDefault="002E2BE8" w:rsidP="001F564C">
      <w:pPr>
        <w:pStyle w:val="Titre3"/>
        <w:numPr>
          <w:ilvl w:val="0"/>
          <w:numId w:val="0"/>
        </w:numPr>
        <w:ind w:left="720" w:hanging="720"/>
        <w:rPr>
          <w:sz w:val="24"/>
          <w:szCs w:val="24"/>
        </w:rPr>
      </w:pPr>
      <w:bookmarkStart w:id="57" w:name="_Toc126251884"/>
      <w:r w:rsidRPr="004A6E37">
        <w:rPr>
          <w:sz w:val="24"/>
          <w:szCs w:val="24"/>
        </w:rPr>
        <w:t xml:space="preserve">5.2. Autres formes de coopération </w:t>
      </w:r>
      <w:r w:rsidR="00910FC5" w:rsidRPr="004A6E37">
        <w:rPr>
          <w:sz w:val="24"/>
          <w:szCs w:val="24"/>
        </w:rPr>
        <w:t>judiciaire</w:t>
      </w:r>
      <w:bookmarkEnd w:id="57"/>
    </w:p>
    <w:p w14:paraId="0FC83AD2" w14:textId="77777777" w:rsidR="009E7E8F" w:rsidRPr="004A6E37" w:rsidRDefault="009E7E8F"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En matière de coopération, il existe :</w:t>
      </w:r>
    </w:p>
    <w:p w14:paraId="0F854D21" w14:textId="77777777" w:rsidR="009E7E8F" w:rsidRPr="004A6E37" w:rsidRDefault="00D37FE0" w:rsidP="0080074E">
      <w:pPr>
        <w:spacing w:before="120"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La plate-forme de coopération judiciaire pénale des pays du Sahel</w:t>
      </w:r>
    </w:p>
    <w:p w14:paraId="07EC9F5E" w14:textId="77777777" w:rsidR="009E7E8F" w:rsidRPr="004A6E37" w:rsidRDefault="00D24F50"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Cette p</w:t>
      </w:r>
      <w:r w:rsidR="009E7E8F" w:rsidRPr="004A6E37">
        <w:rPr>
          <w:rFonts w:ascii="Times New Roman" w:hAnsi="Times New Roman" w:cs="Times New Roman"/>
          <w:sz w:val="24"/>
          <w:szCs w:val="24"/>
        </w:rPr>
        <w:t>late-forme de coopération judiciaire</w:t>
      </w:r>
      <w:r w:rsidR="00962D45" w:rsidRPr="004A6E37">
        <w:rPr>
          <w:rFonts w:ascii="Times New Roman" w:hAnsi="Times New Roman" w:cs="Times New Roman"/>
          <w:sz w:val="24"/>
          <w:szCs w:val="24"/>
        </w:rPr>
        <w:t xml:space="preserve"> des pays</w:t>
      </w:r>
      <w:r w:rsidR="009E7E8F" w:rsidRPr="004A6E37">
        <w:rPr>
          <w:rFonts w:ascii="Times New Roman" w:hAnsi="Times New Roman" w:cs="Times New Roman"/>
          <w:sz w:val="24"/>
          <w:szCs w:val="24"/>
        </w:rPr>
        <w:t xml:space="preserve"> du Sahel, créée en 2010, a pour objectif de renforcer la coopération judiciaire en matière pénale entre les États qui en sont membres, conformément à leurs engagements bilatéraux, r</w:t>
      </w:r>
      <w:r w:rsidR="00A60895" w:rsidRPr="004A6E37">
        <w:rPr>
          <w:rFonts w:ascii="Times New Roman" w:hAnsi="Times New Roman" w:cs="Times New Roman"/>
          <w:sz w:val="24"/>
          <w:szCs w:val="24"/>
        </w:rPr>
        <w:t>égionaux et internationaux. E</w:t>
      </w:r>
      <w:r w:rsidR="009E7E8F" w:rsidRPr="004A6E37">
        <w:rPr>
          <w:rFonts w:ascii="Times New Roman" w:hAnsi="Times New Roman" w:cs="Times New Roman"/>
          <w:sz w:val="24"/>
          <w:szCs w:val="24"/>
        </w:rPr>
        <w:t>lle</w:t>
      </w:r>
      <w:r w:rsidR="00A60895" w:rsidRPr="004A6E37">
        <w:rPr>
          <w:rFonts w:ascii="Times New Roman" w:hAnsi="Times New Roman" w:cs="Times New Roman"/>
          <w:sz w:val="24"/>
          <w:szCs w:val="24"/>
        </w:rPr>
        <w:t xml:space="preserve"> </w:t>
      </w:r>
      <w:r w:rsidR="009E7E8F" w:rsidRPr="004A6E37">
        <w:rPr>
          <w:rFonts w:ascii="Times New Roman" w:hAnsi="Times New Roman" w:cs="Times New Roman"/>
          <w:sz w:val="24"/>
          <w:szCs w:val="24"/>
        </w:rPr>
        <w:t xml:space="preserve">doit, pour ce faire: </w:t>
      </w:r>
    </w:p>
    <w:p w14:paraId="1BAA8B5A" w14:textId="77777777" w:rsidR="004B1F23" w:rsidRPr="004A6E37" w:rsidRDefault="004B1F23" w:rsidP="00920BFE">
      <w:pPr>
        <w:pStyle w:val="Paragraphedeliste"/>
        <w:numPr>
          <w:ilvl w:val="0"/>
          <w:numId w:val="32"/>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f</w:t>
      </w:r>
      <w:r w:rsidR="009E7E8F" w:rsidRPr="004A6E37">
        <w:rPr>
          <w:rFonts w:ascii="Times New Roman" w:hAnsi="Times New Roman" w:cs="Times New Roman"/>
          <w:sz w:val="24"/>
          <w:szCs w:val="24"/>
        </w:rPr>
        <w:t xml:space="preserve">aciliter la transmission et l’exécution des demandes d’entraide judiciaire et d’extradition formulées par les États qui en sont membres; </w:t>
      </w:r>
    </w:p>
    <w:p w14:paraId="78B0C9FE" w14:textId="77777777" w:rsidR="004B1F23" w:rsidRPr="004A6E37" w:rsidRDefault="004B1F23" w:rsidP="00920BFE">
      <w:pPr>
        <w:pStyle w:val="Paragraphedeliste"/>
        <w:numPr>
          <w:ilvl w:val="0"/>
          <w:numId w:val="32"/>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s</w:t>
      </w:r>
      <w:r w:rsidR="009E7E8F" w:rsidRPr="004A6E37">
        <w:rPr>
          <w:rFonts w:ascii="Times New Roman" w:hAnsi="Times New Roman" w:cs="Times New Roman"/>
          <w:sz w:val="24"/>
          <w:szCs w:val="24"/>
        </w:rPr>
        <w:t>uivre l’avancement des procédures engagées en réponse aux demandes de coopération;</w:t>
      </w:r>
    </w:p>
    <w:p w14:paraId="31420E5C" w14:textId="77777777" w:rsidR="004B1F23" w:rsidRPr="004A6E37" w:rsidRDefault="004B1F23" w:rsidP="00920BFE">
      <w:pPr>
        <w:pStyle w:val="Paragraphedeliste"/>
        <w:numPr>
          <w:ilvl w:val="0"/>
          <w:numId w:val="32"/>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p</w:t>
      </w:r>
      <w:r w:rsidR="009E7E8F" w:rsidRPr="004A6E37">
        <w:rPr>
          <w:rFonts w:ascii="Times New Roman" w:hAnsi="Times New Roman" w:cs="Times New Roman"/>
          <w:sz w:val="24"/>
          <w:szCs w:val="24"/>
        </w:rPr>
        <w:t xml:space="preserve">ermettre l’échange de données d’expérience et de meilleures pratiques; </w:t>
      </w:r>
    </w:p>
    <w:p w14:paraId="4E2DA747" w14:textId="77777777" w:rsidR="009E7E8F" w:rsidRPr="004A6E37" w:rsidRDefault="004B1F23" w:rsidP="00920BFE">
      <w:pPr>
        <w:pStyle w:val="Paragraphedeliste"/>
        <w:numPr>
          <w:ilvl w:val="0"/>
          <w:numId w:val="32"/>
        </w:num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r</w:t>
      </w:r>
      <w:r w:rsidR="009E7E8F" w:rsidRPr="004A6E37">
        <w:rPr>
          <w:rFonts w:ascii="Times New Roman" w:hAnsi="Times New Roman" w:cs="Times New Roman"/>
          <w:sz w:val="24"/>
          <w:szCs w:val="24"/>
        </w:rPr>
        <w:t xml:space="preserve">ecenser les besoins d’assistance technique. </w:t>
      </w:r>
    </w:p>
    <w:p w14:paraId="4877300D" w14:textId="77777777" w:rsidR="009E7E8F" w:rsidRPr="004A6E37" w:rsidRDefault="009E7E8F"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membres sont : </w:t>
      </w:r>
      <w:r w:rsidR="003111CD" w:rsidRPr="004A6E37">
        <w:rPr>
          <w:rFonts w:ascii="Times New Roman" w:hAnsi="Times New Roman" w:cs="Times New Roman"/>
          <w:sz w:val="24"/>
          <w:szCs w:val="24"/>
        </w:rPr>
        <w:t xml:space="preserve">le </w:t>
      </w:r>
      <w:r w:rsidRPr="004A6E37">
        <w:rPr>
          <w:rFonts w:ascii="Times New Roman" w:hAnsi="Times New Roman" w:cs="Times New Roman"/>
          <w:sz w:val="24"/>
          <w:szCs w:val="24"/>
        </w:rPr>
        <w:t xml:space="preserve">Burkina Faso, </w:t>
      </w:r>
      <w:r w:rsidR="003111CD" w:rsidRPr="004A6E37">
        <w:rPr>
          <w:rFonts w:ascii="Times New Roman" w:hAnsi="Times New Roman" w:cs="Times New Roman"/>
          <w:sz w:val="24"/>
          <w:szCs w:val="24"/>
        </w:rPr>
        <w:t xml:space="preserve">le </w:t>
      </w:r>
      <w:r w:rsidRPr="004A6E37">
        <w:rPr>
          <w:rFonts w:ascii="Times New Roman" w:hAnsi="Times New Roman" w:cs="Times New Roman"/>
          <w:sz w:val="24"/>
          <w:szCs w:val="24"/>
        </w:rPr>
        <w:t xml:space="preserve">Mali, </w:t>
      </w:r>
      <w:r w:rsidR="003111CD" w:rsidRPr="004A6E37">
        <w:rPr>
          <w:rFonts w:ascii="Times New Roman" w:hAnsi="Times New Roman" w:cs="Times New Roman"/>
          <w:sz w:val="24"/>
          <w:szCs w:val="24"/>
        </w:rPr>
        <w:t xml:space="preserve">la </w:t>
      </w:r>
      <w:r w:rsidRPr="004A6E37">
        <w:rPr>
          <w:rFonts w:ascii="Times New Roman" w:hAnsi="Times New Roman" w:cs="Times New Roman"/>
          <w:sz w:val="24"/>
          <w:szCs w:val="24"/>
        </w:rPr>
        <w:t xml:space="preserve">Mauritanie et </w:t>
      </w:r>
      <w:r w:rsidR="003111CD" w:rsidRPr="004A6E37">
        <w:rPr>
          <w:rFonts w:ascii="Times New Roman" w:hAnsi="Times New Roman" w:cs="Times New Roman"/>
          <w:sz w:val="24"/>
          <w:szCs w:val="24"/>
        </w:rPr>
        <w:t xml:space="preserve">le </w:t>
      </w:r>
      <w:r w:rsidRPr="004A6E37">
        <w:rPr>
          <w:rFonts w:ascii="Times New Roman" w:hAnsi="Times New Roman" w:cs="Times New Roman"/>
          <w:sz w:val="24"/>
          <w:szCs w:val="24"/>
        </w:rPr>
        <w:t>Niger. Le Sénégal et le Tchad sont observateurs.</w:t>
      </w:r>
    </w:p>
    <w:p w14:paraId="1F7B33B9" w14:textId="77777777" w:rsidR="009E7E8F" w:rsidRPr="004A6E37" w:rsidRDefault="005264B4" w:rsidP="0080074E">
      <w:pPr>
        <w:spacing w:before="120"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Le groupe E</w:t>
      </w:r>
      <w:r w:rsidR="009E7E8F" w:rsidRPr="004A6E37">
        <w:rPr>
          <w:rFonts w:ascii="Times New Roman" w:hAnsi="Times New Roman" w:cs="Times New Roman"/>
          <w:b/>
          <w:sz w:val="24"/>
          <w:szCs w:val="24"/>
        </w:rPr>
        <w:t>gmont</w:t>
      </w:r>
      <w:r w:rsidR="003C64C3" w:rsidRPr="004A6E37">
        <w:rPr>
          <w:rFonts w:ascii="Times New Roman" w:hAnsi="Times New Roman" w:cs="Times New Roman"/>
          <w:b/>
          <w:sz w:val="24"/>
          <w:szCs w:val="24"/>
        </w:rPr>
        <w:t> </w:t>
      </w:r>
    </w:p>
    <w:p w14:paraId="547C013E" w14:textId="77777777" w:rsidR="003C64C3" w:rsidRPr="004A6E37" w:rsidRDefault="003C64C3"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C’est un forum d’échange opérationnel pour les cellules de renseigneme</w:t>
      </w:r>
      <w:r w:rsidR="005264B4" w:rsidRPr="004A6E37">
        <w:rPr>
          <w:rFonts w:ascii="Times New Roman" w:hAnsi="Times New Roman" w:cs="Times New Roman"/>
          <w:sz w:val="24"/>
          <w:szCs w:val="24"/>
        </w:rPr>
        <w:t>nts</w:t>
      </w:r>
      <w:r w:rsidR="006540B9" w:rsidRPr="004A6E37">
        <w:rPr>
          <w:rFonts w:ascii="Times New Roman" w:hAnsi="Times New Roman" w:cs="Times New Roman"/>
          <w:sz w:val="24"/>
          <w:szCs w:val="24"/>
        </w:rPr>
        <w:t xml:space="preserve"> et</w:t>
      </w:r>
      <w:r w:rsidR="005264B4" w:rsidRPr="004A6E37">
        <w:rPr>
          <w:rFonts w:ascii="Times New Roman" w:hAnsi="Times New Roman" w:cs="Times New Roman"/>
          <w:sz w:val="24"/>
          <w:szCs w:val="24"/>
        </w:rPr>
        <w:t xml:space="preserve"> d’informations. La Cellule </w:t>
      </w:r>
      <w:r w:rsidRPr="004A6E37">
        <w:rPr>
          <w:rFonts w:ascii="Times New Roman" w:hAnsi="Times New Roman" w:cs="Times New Roman"/>
          <w:sz w:val="24"/>
          <w:szCs w:val="24"/>
        </w:rPr>
        <w:t xml:space="preserve">de traitement des informations financières (CENTIF) est devenue membre en 2011. </w:t>
      </w:r>
    </w:p>
    <w:p w14:paraId="34489AD7" w14:textId="77777777" w:rsidR="00BD05B5" w:rsidRPr="004A6E37" w:rsidRDefault="00E41DF4" w:rsidP="0080074E">
      <w:pPr>
        <w:spacing w:before="120" w:line="360" w:lineRule="auto"/>
        <w:jc w:val="both"/>
        <w:rPr>
          <w:rFonts w:ascii="Times New Roman" w:hAnsi="Times New Roman" w:cs="Times New Roman"/>
          <w:b/>
          <w:sz w:val="24"/>
          <w:szCs w:val="24"/>
        </w:rPr>
      </w:pPr>
      <w:r w:rsidRPr="004A6E37">
        <w:rPr>
          <w:rFonts w:ascii="Times New Roman" w:hAnsi="Times New Roman" w:cs="Times New Roman"/>
          <w:b/>
          <w:sz w:val="24"/>
          <w:szCs w:val="24"/>
        </w:rPr>
        <w:t>Interpol</w:t>
      </w:r>
    </w:p>
    <w:p w14:paraId="6068F27C" w14:textId="77777777" w:rsidR="00A72865" w:rsidRPr="004A6E37" w:rsidRDefault="00A72865" w:rsidP="0080074E">
      <w:pPr>
        <w:spacing w:before="12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C’est une organisation inter gouvernementale dont la mission est </w:t>
      </w:r>
      <w:r w:rsidR="00EB2602" w:rsidRPr="004A6E37">
        <w:rPr>
          <w:rFonts w:ascii="Times New Roman" w:hAnsi="Times New Roman" w:cs="Times New Roman"/>
          <w:sz w:val="24"/>
          <w:szCs w:val="24"/>
        </w:rPr>
        <w:t>de faciliter</w:t>
      </w:r>
      <w:r w:rsidRPr="004A6E37">
        <w:rPr>
          <w:rFonts w:ascii="Times New Roman" w:hAnsi="Times New Roman" w:cs="Times New Roman"/>
          <w:sz w:val="24"/>
          <w:szCs w:val="24"/>
        </w:rPr>
        <w:t xml:space="preserve"> la coopération policière. Le Mali</w:t>
      </w:r>
      <w:r w:rsidR="009B441F" w:rsidRPr="004A6E37">
        <w:rPr>
          <w:rFonts w:ascii="Times New Roman" w:hAnsi="Times New Roman" w:cs="Times New Roman"/>
          <w:sz w:val="24"/>
          <w:szCs w:val="24"/>
        </w:rPr>
        <w:t>,</w:t>
      </w:r>
      <w:r w:rsidRPr="004A6E37">
        <w:rPr>
          <w:rFonts w:ascii="Times New Roman" w:hAnsi="Times New Roman" w:cs="Times New Roman"/>
          <w:sz w:val="24"/>
          <w:szCs w:val="24"/>
        </w:rPr>
        <w:t xml:space="preserve"> pays membre possède un bureau central national (BCN) </w:t>
      </w:r>
      <w:r w:rsidR="009B441F" w:rsidRPr="004A6E37">
        <w:rPr>
          <w:rFonts w:ascii="Times New Roman" w:hAnsi="Times New Roman" w:cs="Times New Roman"/>
          <w:sz w:val="24"/>
          <w:szCs w:val="24"/>
        </w:rPr>
        <w:t>d’I</w:t>
      </w:r>
      <w:r w:rsidR="00E41DF4" w:rsidRPr="004A6E37">
        <w:rPr>
          <w:rFonts w:ascii="Times New Roman" w:hAnsi="Times New Roman" w:cs="Times New Roman"/>
          <w:sz w:val="24"/>
          <w:szCs w:val="24"/>
        </w:rPr>
        <w:t>nterpol</w:t>
      </w:r>
      <w:r w:rsidRPr="004A6E37">
        <w:rPr>
          <w:rFonts w:ascii="Times New Roman" w:hAnsi="Times New Roman" w:cs="Times New Roman"/>
          <w:sz w:val="24"/>
          <w:szCs w:val="24"/>
        </w:rPr>
        <w:t xml:space="preserve"> qui relie ses services chargés de l’application de la loi aux autres pays membre</w:t>
      </w:r>
      <w:r w:rsidR="009B4D6C" w:rsidRPr="004A6E37">
        <w:rPr>
          <w:rFonts w:ascii="Times New Roman" w:hAnsi="Times New Roman" w:cs="Times New Roman"/>
          <w:sz w:val="24"/>
          <w:szCs w:val="24"/>
        </w:rPr>
        <w:t>s</w:t>
      </w:r>
      <w:r w:rsidRPr="004A6E37">
        <w:rPr>
          <w:rFonts w:ascii="Times New Roman" w:hAnsi="Times New Roman" w:cs="Times New Roman"/>
          <w:sz w:val="24"/>
          <w:szCs w:val="24"/>
        </w:rPr>
        <w:t xml:space="preserve"> et au secrétariat général via un réseau mondial sécurisé de communication policière.  </w:t>
      </w:r>
    </w:p>
    <w:p w14:paraId="352B6AB8" w14:textId="77777777" w:rsidR="009B7F30" w:rsidRPr="004A6E37" w:rsidRDefault="00AF6ACD" w:rsidP="001F564C">
      <w:pPr>
        <w:pStyle w:val="Titre2"/>
        <w:numPr>
          <w:ilvl w:val="0"/>
          <w:numId w:val="0"/>
        </w:numPr>
        <w:ind w:left="576" w:hanging="576"/>
        <w:rPr>
          <w:rFonts w:ascii="Times New Roman" w:hAnsi="Times New Roman" w:cs="Times New Roman"/>
          <w:b/>
          <w:color w:val="auto"/>
          <w:sz w:val="24"/>
          <w:szCs w:val="24"/>
        </w:rPr>
      </w:pPr>
      <w:bookmarkStart w:id="58" w:name="_Toc126251885"/>
      <w:r w:rsidRPr="004A6E37">
        <w:rPr>
          <w:rFonts w:ascii="Times New Roman" w:hAnsi="Times New Roman" w:cs="Times New Roman"/>
          <w:b/>
          <w:color w:val="auto"/>
          <w:sz w:val="24"/>
          <w:szCs w:val="24"/>
        </w:rPr>
        <w:t>VI. INSUFFISANCES DES LOIS, REGLEMENTS ET MECANISMES</w:t>
      </w:r>
      <w:bookmarkEnd w:id="58"/>
    </w:p>
    <w:p w14:paraId="5DA9EF5B" w14:textId="77777777" w:rsidR="00A52766" w:rsidRPr="004A6E37" w:rsidRDefault="00A52766" w:rsidP="00A52766">
      <w:pPr>
        <w:rPr>
          <w:rFonts w:ascii="Times New Roman" w:hAnsi="Times New Roman" w:cs="Times New Roman"/>
          <w:sz w:val="14"/>
        </w:rPr>
      </w:pPr>
    </w:p>
    <w:p w14:paraId="5B506015" w14:textId="77777777" w:rsidR="00A52766" w:rsidRPr="004A6E37" w:rsidRDefault="00A52766" w:rsidP="00920BFE">
      <w:pPr>
        <w:pStyle w:val="Paragraphedeliste"/>
        <w:numPr>
          <w:ilvl w:val="0"/>
          <w:numId w:val="27"/>
        </w:numPr>
        <w:spacing w:after="0" w:line="360" w:lineRule="auto"/>
        <w:jc w:val="both"/>
        <w:rPr>
          <w:rFonts w:ascii="Times New Roman" w:hAnsi="Times New Roman" w:cs="Times New Roman"/>
          <w:sz w:val="24"/>
          <w:szCs w:val="24"/>
        </w:rPr>
      </w:pPr>
      <w:proofErr w:type="gramStart"/>
      <w:r w:rsidRPr="004A6E37">
        <w:rPr>
          <w:rFonts w:ascii="Times New Roman" w:hAnsi="Times New Roman" w:cs="Times New Roman"/>
          <w:sz w:val="24"/>
          <w:szCs w:val="24"/>
        </w:rPr>
        <w:t>la</w:t>
      </w:r>
      <w:proofErr w:type="gramEnd"/>
      <w:r w:rsidRPr="004A6E37">
        <w:rPr>
          <w:rFonts w:ascii="Times New Roman" w:hAnsi="Times New Roman" w:cs="Times New Roman"/>
          <w:sz w:val="24"/>
          <w:szCs w:val="24"/>
        </w:rPr>
        <w:t xml:space="preserve"> non informatisation du RCCM, fait que l’information contenue dans le RCCM n’est pas facilement accessible au public ;</w:t>
      </w:r>
    </w:p>
    <w:p w14:paraId="3582E04B" w14:textId="77777777" w:rsidR="00A52766" w:rsidRPr="004A6E37" w:rsidRDefault="00A52766" w:rsidP="00920BFE">
      <w:pPr>
        <w:pStyle w:val="Paragraphedeliste"/>
        <w:numPr>
          <w:ilvl w:val="0"/>
          <w:numId w:val="27"/>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 </w:t>
      </w:r>
      <w:r w:rsidR="008B6845" w:rsidRPr="004A6E37">
        <w:rPr>
          <w:rFonts w:ascii="Times New Roman" w:hAnsi="Times New Roman" w:cs="Times New Roman"/>
          <w:sz w:val="24"/>
          <w:szCs w:val="24"/>
        </w:rPr>
        <w:t>l</w:t>
      </w:r>
      <w:r w:rsidRPr="004A6E37">
        <w:rPr>
          <w:rFonts w:ascii="Times New Roman" w:hAnsi="Times New Roman" w:cs="Times New Roman"/>
          <w:sz w:val="24"/>
          <w:szCs w:val="24"/>
        </w:rPr>
        <w:t>’</w:t>
      </w:r>
      <w:r w:rsidR="008B6845" w:rsidRPr="004A6E37">
        <w:rPr>
          <w:rFonts w:ascii="Times New Roman" w:hAnsi="Times New Roman" w:cs="Times New Roman"/>
          <w:sz w:val="24"/>
          <w:szCs w:val="24"/>
        </w:rPr>
        <w:t>inexistence</w:t>
      </w:r>
      <w:r w:rsidRPr="004A6E37">
        <w:rPr>
          <w:rFonts w:ascii="Times New Roman" w:hAnsi="Times New Roman" w:cs="Times New Roman"/>
          <w:sz w:val="24"/>
          <w:szCs w:val="24"/>
        </w:rPr>
        <w:t xml:space="preserve"> </w:t>
      </w:r>
      <w:r w:rsidR="008B6845" w:rsidRPr="004A6E37">
        <w:rPr>
          <w:rFonts w:ascii="Times New Roman" w:hAnsi="Times New Roman" w:cs="Times New Roman"/>
          <w:sz w:val="24"/>
          <w:szCs w:val="24"/>
        </w:rPr>
        <w:t>de</w:t>
      </w:r>
      <w:r w:rsidRPr="004A6E37">
        <w:rPr>
          <w:rFonts w:ascii="Times New Roman" w:hAnsi="Times New Roman" w:cs="Times New Roman"/>
          <w:sz w:val="24"/>
          <w:szCs w:val="24"/>
        </w:rPr>
        <w:t xml:space="preserve"> mécanisme spécifique pour déterminer le(s) bénéficiaire(s) effectif(s) d’une personne morale au sein du RCCM ;</w:t>
      </w:r>
    </w:p>
    <w:p w14:paraId="78E36ED7" w14:textId="77777777" w:rsidR="00A52766" w:rsidRPr="004A6E37" w:rsidRDefault="008B6845" w:rsidP="00920BFE">
      <w:pPr>
        <w:pStyle w:val="Paragraphedeliste"/>
        <w:numPr>
          <w:ilvl w:val="0"/>
          <w:numId w:val="27"/>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w:t>
      </w:r>
      <w:r w:rsidR="00A52766" w:rsidRPr="004A6E37">
        <w:rPr>
          <w:rFonts w:ascii="Times New Roman" w:hAnsi="Times New Roman" w:cs="Times New Roman"/>
          <w:sz w:val="24"/>
          <w:szCs w:val="24"/>
        </w:rPr>
        <w:t>’</w:t>
      </w:r>
      <w:r w:rsidRPr="004A6E37">
        <w:rPr>
          <w:rFonts w:ascii="Times New Roman" w:hAnsi="Times New Roman" w:cs="Times New Roman"/>
          <w:sz w:val="24"/>
          <w:szCs w:val="24"/>
        </w:rPr>
        <w:t>absence d’</w:t>
      </w:r>
      <w:r w:rsidR="00A52766" w:rsidRPr="004A6E37">
        <w:rPr>
          <w:rFonts w:ascii="Times New Roman" w:hAnsi="Times New Roman" w:cs="Times New Roman"/>
          <w:sz w:val="24"/>
          <w:szCs w:val="24"/>
        </w:rPr>
        <w:t xml:space="preserve">obligation de conserver les renseignements sur les bénéficiaires effectifs dans le RCCM et les renseignements sur les bénéficiaires effectifs détenus par les banques ne sont accessibles que sur autorisation du procureur de la République ; </w:t>
      </w:r>
    </w:p>
    <w:p w14:paraId="482026E4" w14:textId="77777777" w:rsidR="000248CC" w:rsidRPr="004A6E37" w:rsidRDefault="008B6845" w:rsidP="00920BFE">
      <w:pPr>
        <w:pStyle w:val="Paragraphedeliste"/>
        <w:numPr>
          <w:ilvl w:val="0"/>
          <w:numId w:val="1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l’absence de textes relatifs aux sanctions</w:t>
      </w:r>
      <w:r w:rsidR="00026272" w:rsidRPr="004A6E37">
        <w:rPr>
          <w:rFonts w:ascii="Times New Roman" w:hAnsi="Times New Roman" w:cs="Times New Roman"/>
          <w:sz w:val="24"/>
          <w:szCs w:val="24"/>
        </w:rPr>
        <w:t xml:space="preserve"> pour faire respecter les obligations en matière de tra</w:t>
      </w:r>
      <w:r w:rsidR="004E298C" w:rsidRPr="004A6E37">
        <w:rPr>
          <w:rFonts w:ascii="Times New Roman" w:hAnsi="Times New Roman" w:cs="Times New Roman"/>
          <w:sz w:val="24"/>
          <w:szCs w:val="24"/>
        </w:rPr>
        <w:t>nsparence des personnes morales</w:t>
      </w:r>
      <w:r w:rsidR="000248CC" w:rsidRPr="004A6E37">
        <w:rPr>
          <w:rFonts w:ascii="Times New Roman" w:hAnsi="Times New Roman" w:cs="Times New Roman"/>
          <w:sz w:val="24"/>
          <w:szCs w:val="24"/>
        </w:rPr>
        <w:t>;</w:t>
      </w:r>
    </w:p>
    <w:p w14:paraId="1480CB2D" w14:textId="77777777" w:rsidR="000248CC" w:rsidRPr="004A6E37" w:rsidRDefault="008B6845" w:rsidP="00920BFE">
      <w:pPr>
        <w:pStyle w:val="Paragraphedeliste"/>
        <w:numPr>
          <w:ilvl w:val="0"/>
          <w:numId w:val="1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l</w:t>
      </w:r>
      <w:r w:rsidR="000248CC" w:rsidRPr="004A6E37">
        <w:rPr>
          <w:rFonts w:ascii="Times New Roman" w:hAnsi="Times New Roman" w:cs="Times New Roman"/>
          <w:sz w:val="24"/>
          <w:szCs w:val="24"/>
        </w:rPr>
        <w:t xml:space="preserve">’acte </w:t>
      </w:r>
      <w:r w:rsidR="006A2512" w:rsidRPr="004A6E37">
        <w:rPr>
          <w:rFonts w:ascii="Times New Roman" w:hAnsi="Times New Roman" w:cs="Times New Roman"/>
          <w:sz w:val="24"/>
          <w:szCs w:val="24"/>
        </w:rPr>
        <w:t xml:space="preserve">uniforme </w:t>
      </w:r>
      <w:r w:rsidR="000248CC" w:rsidRPr="004A6E37">
        <w:rPr>
          <w:rFonts w:ascii="Times New Roman" w:hAnsi="Times New Roman" w:cs="Times New Roman"/>
          <w:sz w:val="24"/>
          <w:szCs w:val="24"/>
        </w:rPr>
        <w:t>de l’OHADA ne prévoit pas de dispositions pour les sociétés mixtes ;</w:t>
      </w:r>
    </w:p>
    <w:p w14:paraId="2BFF48BA" w14:textId="77777777" w:rsidR="000248CC" w:rsidRPr="004A6E37" w:rsidRDefault="008B6845" w:rsidP="00920BFE">
      <w:pPr>
        <w:pStyle w:val="Paragraphedeliste"/>
        <w:numPr>
          <w:ilvl w:val="0"/>
          <w:numId w:val="1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w:t>
      </w:r>
      <w:r w:rsidR="008F2E98" w:rsidRPr="004A6E37">
        <w:rPr>
          <w:rFonts w:ascii="Times New Roman" w:hAnsi="Times New Roman" w:cs="Times New Roman"/>
          <w:sz w:val="24"/>
          <w:szCs w:val="24"/>
        </w:rPr>
        <w:t>’a</w:t>
      </w:r>
      <w:r w:rsidR="000248CC" w:rsidRPr="004A6E37">
        <w:rPr>
          <w:rFonts w:ascii="Times New Roman" w:hAnsi="Times New Roman" w:cs="Times New Roman"/>
          <w:sz w:val="24"/>
          <w:szCs w:val="24"/>
        </w:rPr>
        <w:t>bsence de structures qui gèrent les titres ;</w:t>
      </w:r>
      <w:r w:rsidR="00026272" w:rsidRPr="004A6E37">
        <w:rPr>
          <w:rFonts w:ascii="Times New Roman" w:hAnsi="Times New Roman" w:cs="Times New Roman"/>
          <w:sz w:val="24"/>
          <w:szCs w:val="24"/>
        </w:rPr>
        <w:t xml:space="preserve"> </w:t>
      </w:r>
    </w:p>
    <w:p w14:paraId="7B95D711" w14:textId="77777777" w:rsidR="00026272" w:rsidRPr="004A6E37" w:rsidRDefault="00AA22D6" w:rsidP="00920BFE">
      <w:pPr>
        <w:pStyle w:val="Paragraphedeliste"/>
        <w:numPr>
          <w:ilvl w:val="0"/>
          <w:numId w:val="1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w:t>
      </w:r>
      <w:r w:rsidR="005D79E0" w:rsidRPr="004A6E37">
        <w:rPr>
          <w:rFonts w:ascii="Times New Roman" w:hAnsi="Times New Roman" w:cs="Times New Roman"/>
          <w:sz w:val="24"/>
          <w:szCs w:val="24"/>
        </w:rPr>
        <w:t>es i</w:t>
      </w:r>
      <w:r w:rsidR="000248CC" w:rsidRPr="004A6E37">
        <w:rPr>
          <w:rFonts w:ascii="Times New Roman" w:hAnsi="Times New Roman" w:cs="Times New Roman"/>
          <w:sz w:val="24"/>
          <w:szCs w:val="24"/>
        </w:rPr>
        <w:t>nsuffisances de connaissance des dispositions en matière de LBC/FT</w:t>
      </w:r>
      <w:r w:rsidR="00940B89" w:rsidRPr="004A6E37">
        <w:rPr>
          <w:rFonts w:ascii="Times New Roman" w:hAnsi="Times New Roman" w:cs="Times New Roman"/>
          <w:sz w:val="24"/>
          <w:szCs w:val="24"/>
        </w:rPr>
        <w:t> ;</w:t>
      </w:r>
    </w:p>
    <w:p w14:paraId="3E689CAA" w14:textId="77777777" w:rsidR="00940B89" w:rsidRPr="004A6E37" w:rsidRDefault="00AA22D6" w:rsidP="00920BFE">
      <w:pPr>
        <w:pStyle w:val="Paragraphedeliste"/>
        <w:numPr>
          <w:ilvl w:val="0"/>
          <w:numId w:val="1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w:t>
      </w:r>
      <w:r w:rsidR="00114F51" w:rsidRPr="004A6E37">
        <w:rPr>
          <w:rFonts w:ascii="Times New Roman" w:hAnsi="Times New Roman" w:cs="Times New Roman"/>
          <w:sz w:val="24"/>
          <w:szCs w:val="24"/>
        </w:rPr>
        <w:t>’a</w:t>
      </w:r>
      <w:r w:rsidR="00940B89" w:rsidRPr="004A6E37">
        <w:rPr>
          <w:rFonts w:ascii="Times New Roman" w:hAnsi="Times New Roman" w:cs="Times New Roman"/>
          <w:sz w:val="24"/>
          <w:szCs w:val="24"/>
        </w:rPr>
        <w:t>bsence de textes obligeant les actionnai</w:t>
      </w:r>
      <w:r w:rsidR="003203EE" w:rsidRPr="004A6E37">
        <w:rPr>
          <w:rFonts w:ascii="Times New Roman" w:hAnsi="Times New Roman" w:cs="Times New Roman"/>
          <w:sz w:val="24"/>
          <w:szCs w:val="24"/>
        </w:rPr>
        <w:t>res ou administrateurs agissant</w:t>
      </w:r>
      <w:r w:rsidR="00940B89" w:rsidRPr="004A6E37">
        <w:rPr>
          <w:rFonts w:ascii="Times New Roman" w:hAnsi="Times New Roman" w:cs="Times New Roman"/>
          <w:sz w:val="24"/>
          <w:szCs w:val="24"/>
        </w:rPr>
        <w:t xml:space="preserve"> pour le compte d’une autre personne :</w:t>
      </w:r>
    </w:p>
    <w:p w14:paraId="4E4EF867" w14:textId="77777777" w:rsidR="00940B89" w:rsidRPr="004A6E37" w:rsidRDefault="00940B89" w:rsidP="00920BFE">
      <w:pPr>
        <w:pStyle w:val="Paragraphedeliste"/>
        <w:numPr>
          <w:ilvl w:val="0"/>
          <w:numId w:val="17"/>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à divulguer à la société et à tout registre compétent l’identité de la personne ;</w:t>
      </w:r>
    </w:p>
    <w:p w14:paraId="469C6EAB" w14:textId="77777777" w:rsidR="00940B89" w:rsidRPr="004A6E37" w:rsidRDefault="00940B89" w:rsidP="00920BFE">
      <w:pPr>
        <w:pStyle w:val="Paragraphedeliste"/>
        <w:numPr>
          <w:ilvl w:val="0"/>
          <w:numId w:val="17"/>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à être dument imposé que leurs statuts des mandataires soient consignées dans le registre des sociétés et les obliger à conserver des informations identifiants la personne des ayants désignées ;</w:t>
      </w:r>
    </w:p>
    <w:p w14:paraId="7A4E7B7F" w14:textId="77777777" w:rsidR="00940B89" w:rsidRPr="004A6E37" w:rsidRDefault="00940B89" w:rsidP="00920BFE">
      <w:pPr>
        <w:pStyle w:val="Paragraphedeliste"/>
        <w:numPr>
          <w:ilvl w:val="0"/>
          <w:numId w:val="1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  </w:t>
      </w:r>
      <w:r w:rsidR="00FC0577" w:rsidRPr="004A6E37">
        <w:rPr>
          <w:rFonts w:ascii="Times New Roman" w:hAnsi="Times New Roman" w:cs="Times New Roman"/>
          <w:sz w:val="24"/>
          <w:szCs w:val="24"/>
        </w:rPr>
        <w:t>L’a</w:t>
      </w:r>
      <w:r w:rsidR="009B07F9" w:rsidRPr="004A6E37">
        <w:rPr>
          <w:rFonts w:ascii="Times New Roman" w:hAnsi="Times New Roman" w:cs="Times New Roman"/>
          <w:sz w:val="24"/>
          <w:szCs w:val="24"/>
        </w:rPr>
        <w:t>bsence de textes pour :</w:t>
      </w:r>
    </w:p>
    <w:p w14:paraId="2FE4AE20" w14:textId="77777777" w:rsidR="009B07F9" w:rsidRPr="004A6E37" w:rsidRDefault="009B07F9" w:rsidP="00920BFE">
      <w:pPr>
        <w:pStyle w:val="Paragraphedeliste"/>
        <w:numPr>
          <w:ilvl w:val="0"/>
          <w:numId w:val="18"/>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Interdire les actions et bon de solution d’actions au porteur ;</w:t>
      </w:r>
    </w:p>
    <w:p w14:paraId="72F8C62E" w14:textId="77777777" w:rsidR="009B07F9" w:rsidRPr="004A6E37" w:rsidRDefault="009B07F9" w:rsidP="00920BFE">
      <w:pPr>
        <w:pStyle w:val="Paragraphedeliste"/>
        <w:numPr>
          <w:ilvl w:val="0"/>
          <w:numId w:val="18"/>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Convertir les actions et bon de souscription d’actions au porteur en actions nominatives ;</w:t>
      </w:r>
    </w:p>
    <w:p w14:paraId="4CD7DAA1" w14:textId="77777777" w:rsidR="009B07F9" w:rsidRPr="004A6E37" w:rsidRDefault="009B07F9" w:rsidP="00920BFE">
      <w:pPr>
        <w:pStyle w:val="Paragraphedeliste"/>
        <w:numPr>
          <w:ilvl w:val="0"/>
          <w:numId w:val="18"/>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Immobiliser les actions et bon de souscription d’actions au porteur en exigeant qu’ils soient détenus au près d’une institution financière ; </w:t>
      </w:r>
    </w:p>
    <w:p w14:paraId="0FEB3F83" w14:textId="77777777" w:rsidR="009B07F9" w:rsidRPr="004A6E37" w:rsidRDefault="009B07F9" w:rsidP="00920BFE">
      <w:pPr>
        <w:pStyle w:val="Paragraphedeliste"/>
        <w:numPr>
          <w:ilvl w:val="0"/>
          <w:numId w:val="18"/>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Imposer aux actionnaires détenant une participation au contrôle de le notifier à la société.</w:t>
      </w:r>
    </w:p>
    <w:p w14:paraId="4EF04314" w14:textId="77777777" w:rsidR="00FF2849" w:rsidRPr="004A6E37" w:rsidRDefault="00FF2849">
      <w:pPr>
        <w:spacing w:after="0" w:line="240" w:lineRule="auto"/>
        <w:rPr>
          <w:rFonts w:ascii="Times New Roman" w:hAnsi="Times New Roman" w:cs="Times New Roman"/>
          <w:b/>
          <w:sz w:val="24"/>
          <w:szCs w:val="24"/>
        </w:rPr>
      </w:pPr>
    </w:p>
    <w:p w14:paraId="724A42D5" w14:textId="77777777" w:rsidR="00A106E4" w:rsidRPr="004A6E37" w:rsidRDefault="00A106E4">
      <w:pPr>
        <w:spacing w:after="0" w:line="240" w:lineRule="auto"/>
        <w:rPr>
          <w:rFonts w:ascii="Times New Roman" w:hAnsi="Times New Roman" w:cs="Times New Roman"/>
          <w:b/>
          <w:sz w:val="24"/>
          <w:szCs w:val="24"/>
        </w:rPr>
      </w:pPr>
    </w:p>
    <w:p w14:paraId="25F2ED27" w14:textId="77777777" w:rsidR="00A106E4" w:rsidRPr="004A6E37" w:rsidRDefault="00A106E4">
      <w:pPr>
        <w:spacing w:after="0" w:line="240" w:lineRule="auto"/>
        <w:rPr>
          <w:rFonts w:ascii="Times New Roman" w:hAnsi="Times New Roman" w:cs="Times New Roman"/>
          <w:b/>
          <w:sz w:val="24"/>
          <w:szCs w:val="24"/>
        </w:rPr>
      </w:pPr>
    </w:p>
    <w:p w14:paraId="7380A9BC" w14:textId="77777777" w:rsidR="00A106E4" w:rsidRPr="004A6E37" w:rsidRDefault="00A106E4">
      <w:pPr>
        <w:spacing w:after="0" w:line="240" w:lineRule="auto"/>
        <w:rPr>
          <w:rFonts w:ascii="Times New Roman" w:hAnsi="Times New Roman" w:cs="Times New Roman"/>
          <w:b/>
          <w:sz w:val="24"/>
          <w:szCs w:val="24"/>
        </w:rPr>
      </w:pPr>
    </w:p>
    <w:p w14:paraId="29FC96D2" w14:textId="77777777" w:rsidR="00A106E4" w:rsidRPr="004A6E37" w:rsidRDefault="00A106E4">
      <w:pPr>
        <w:spacing w:after="0" w:line="240" w:lineRule="auto"/>
        <w:rPr>
          <w:rFonts w:ascii="Times New Roman" w:hAnsi="Times New Roman" w:cs="Times New Roman"/>
          <w:b/>
          <w:sz w:val="24"/>
          <w:szCs w:val="24"/>
        </w:rPr>
      </w:pPr>
    </w:p>
    <w:p w14:paraId="5A32C423" w14:textId="77777777" w:rsidR="00A106E4" w:rsidRPr="004A6E37" w:rsidRDefault="00A106E4">
      <w:pPr>
        <w:spacing w:after="0" w:line="240" w:lineRule="auto"/>
        <w:rPr>
          <w:rFonts w:ascii="Times New Roman" w:hAnsi="Times New Roman" w:cs="Times New Roman"/>
          <w:b/>
          <w:sz w:val="24"/>
          <w:szCs w:val="24"/>
        </w:rPr>
      </w:pPr>
    </w:p>
    <w:p w14:paraId="689B685A" w14:textId="77777777" w:rsidR="00A106E4" w:rsidRPr="004A6E37" w:rsidRDefault="00A106E4">
      <w:pPr>
        <w:spacing w:after="0" w:line="240" w:lineRule="auto"/>
        <w:rPr>
          <w:rFonts w:ascii="Times New Roman" w:hAnsi="Times New Roman" w:cs="Times New Roman"/>
          <w:b/>
          <w:sz w:val="24"/>
          <w:szCs w:val="24"/>
        </w:rPr>
      </w:pPr>
    </w:p>
    <w:p w14:paraId="2CFF2548" w14:textId="77777777" w:rsidR="00A106E4" w:rsidRPr="004A6E37" w:rsidRDefault="00A106E4">
      <w:pPr>
        <w:spacing w:after="0" w:line="240" w:lineRule="auto"/>
        <w:rPr>
          <w:rFonts w:ascii="Times New Roman" w:hAnsi="Times New Roman" w:cs="Times New Roman"/>
          <w:b/>
          <w:sz w:val="24"/>
          <w:szCs w:val="24"/>
        </w:rPr>
      </w:pPr>
    </w:p>
    <w:p w14:paraId="5345F3CD" w14:textId="77777777" w:rsidR="00A106E4" w:rsidRPr="004A6E37" w:rsidRDefault="00A106E4">
      <w:pPr>
        <w:spacing w:after="0" w:line="240" w:lineRule="auto"/>
        <w:rPr>
          <w:rFonts w:ascii="Times New Roman" w:hAnsi="Times New Roman" w:cs="Times New Roman"/>
          <w:b/>
          <w:sz w:val="24"/>
          <w:szCs w:val="24"/>
        </w:rPr>
      </w:pPr>
    </w:p>
    <w:p w14:paraId="3DA6E59A" w14:textId="77777777" w:rsidR="00A106E4" w:rsidRPr="004A6E37" w:rsidRDefault="00A106E4">
      <w:pPr>
        <w:spacing w:after="0" w:line="240" w:lineRule="auto"/>
        <w:rPr>
          <w:rFonts w:ascii="Times New Roman" w:hAnsi="Times New Roman" w:cs="Times New Roman"/>
          <w:b/>
          <w:sz w:val="24"/>
          <w:szCs w:val="24"/>
        </w:rPr>
      </w:pPr>
    </w:p>
    <w:p w14:paraId="46C30E86" w14:textId="77777777" w:rsidR="00A106E4" w:rsidRPr="004A6E37" w:rsidRDefault="00A106E4">
      <w:pPr>
        <w:spacing w:after="0" w:line="240" w:lineRule="auto"/>
        <w:rPr>
          <w:rFonts w:ascii="Times New Roman" w:hAnsi="Times New Roman" w:cs="Times New Roman"/>
          <w:b/>
          <w:sz w:val="24"/>
          <w:szCs w:val="24"/>
        </w:rPr>
      </w:pPr>
    </w:p>
    <w:p w14:paraId="441112C1" w14:textId="77777777" w:rsidR="00A106E4" w:rsidRPr="004A6E37" w:rsidRDefault="00A106E4">
      <w:pPr>
        <w:spacing w:after="0" w:line="240" w:lineRule="auto"/>
        <w:rPr>
          <w:rFonts w:ascii="Times New Roman" w:hAnsi="Times New Roman" w:cs="Times New Roman"/>
          <w:b/>
          <w:sz w:val="24"/>
          <w:szCs w:val="24"/>
        </w:rPr>
      </w:pPr>
    </w:p>
    <w:p w14:paraId="5E095B6A" w14:textId="77777777" w:rsidR="00A106E4" w:rsidRPr="004A6E37" w:rsidRDefault="00A106E4">
      <w:pPr>
        <w:spacing w:after="0" w:line="240" w:lineRule="auto"/>
        <w:rPr>
          <w:rFonts w:ascii="Times New Roman" w:hAnsi="Times New Roman" w:cs="Times New Roman"/>
          <w:b/>
          <w:sz w:val="24"/>
          <w:szCs w:val="24"/>
        </w:rPr>
      </w:pPr>
    </w:p>
    <w:p w14:paraId="2804E187" w14:textId="77777777" w:rsidR="00A106E4" w:rsidRPr="004A6E37" w:rsidRDefault="00A106E4">
      <w:pPr>
        <w:spacing w:after="0" w:line="240" w:lineRule="auto"/>
        <w:rPr>
          <w:rFonts w:ascii="Times New Roman" w:hAnsi="Times New Roman" w:cs="Times New Roman"/>
          <w:b/>
          <w:sz w:val="24"/>
          <w:szCs w:val="24"/>
        </w:rPr>
      </w:pPr>
    </w:p>
    <w:p w14:paraId="5E4CC0B9" w14:textId="77777777" w:rsidR="00A106E4" w:rsidRPr="004A6E37" w:rsidRDefault="00A106E4">
      <w:pPr>
        <w:spacing w:after="0" w:line="240" w:lineRule="auto"/>
        <w:rPr>
          <w:rFonts w:ascii="Times New Roman" w:hAnsi="Times New Roman" w:cs="Times New Roman"/>
          <w:b/>
          <w:sz w:val="24"/>
          <w:szCs w:val="24"/>
        </w:rPr>
      </w:pPr>
    </w:p>
    <w:p w14:paraId="418A5A64" w14:textId="77777777" w:rsidR="00A106E4" w:rsidRPr="004A6E37" w:rsidRDefault="00A106E4">
      <w:pPr>
        <w:spacing w:after="0" w:line="240" w:lineRule="auto"/>
        <w:rPr>
          <w:rFonts w:ascii="Times New Roman" w:hAnsi="Times New Roman" w:cs="Times New Roman"/>
          <w:b/>
          <w:sz w:val="24"/>
          <w:szCs w:val="24"/>
        </w:rPr>
      </w:pPr>
    </w:p>
    <w:p w14:paraId="73BA785B" w14:textId="77777777" w:rsidR="00A106E4" w:rsidRPr="004A6E37" w:rsidRDefault="00A106E4">
      <w:pPr>
        <w:spacing w:after="0" w:line="240" w:lineRule="auto"/>
        <w:rPr>
          <w:rFonts w:ascii="Times New Roman" w:hAnsi="Times New Roman" w:cs="Times New Roman"/>
          <w:b/>
          <w:sz w:val="24"/>
          <w:szCs w:val="24"/>
        </w:rPr>
      </w:pPr>
    </w:p>
    <w:p w14:paraId="53A82694" w14:textId="77777777" w:rsidR="00A106E4" w:rsidRPr="004A6E37" w:rsidRDefault="00A106E4">
      <w:pPr>
        <w:spacing w:after="0" w:line="240" w:lineRule="auto"/>
        <w:rPr>
          <w:rFonts w:ascii="Times New Roman" w:hAnsi="Times New Roman" w:cs="Times New Roman"/>
          <w:b/>
          <w:sz w:val="24"/>
          <w:szCs w:val="24"/>
        </w:rPr>
      </w:pPr>
    </w:p>
    <w:p w14:paraId="74DCEEC7" w14:textId="77777777" w:rsidR="00A106E4" w:rsidRPr="004A6E37" w:rsidRDefault="00A106E4">
      <w:pPr>
        <w:spacing w:after="0" w:line="240" w:lineRule="auto"/>
        <w:rPr>
          <w:rFonts w:ascii="Times New Roman" w:hAnsi="Times New Roman" w:cs="Times New Roman"/>
          <w:b/>
          <w:sz w:val="24"/>
          <w:szCs w:val="24"/>
        </w:rPr>
      </w:pPr>
    </w:p>
    <w:p w14:paraId="5AC14187" w14:textId="77777777" w:rsidR="00A106E4" w:rsidRPr="004A6E37" w:rsidRDefault="00A106E4">
      <w:pPr>
        <w:spacing w:after="0" w:line="240" w:lineRule="auto"/>
        <w:rPr>
          <w:rFonts w:ascii="Times New Roman" w:hAnsi="Times New Roman" w:cs="Times New Roman"/>
          <w:b/>
          <w:sz w:val="24"/>
          <w:szCs w:val="24"/>
        </w:rPr>
      </w:pPr>
    </w:p>
    <w:p w14:paraId="42FBADFC" w14:textId="77777777" w:rsidR="00A106E4" w:rsidRPr="004A6E37" w:rsidRDefault="00A106E4">
      <w:pPr>
        <w:spacing w:after="0" w:line="240" w:lineRule="auto"/>
        <w:rPr>
          <w:rFonts w:ascii="Times New Roman" w:hAnsi="Times New Roman" w:cs="Times New Roman"/>
          <w:b/>
          <w:sz w:val="24"/>
          <w:szCs w:val="24"/>
        </w:rPr>
      </w:pPr>
    </w:p>
    <w:p w14:paraId="4C4E837F" w14:textId="77777777" w:rsidR="00A106E4" w:rsidRPr="004A6E37" w:rsidRDefault="00A106E4">
      <w:pPr>
        <w:spacing w:after="0" w:line="240" w:lineRule="auto"/>
        <w:rPr>
          <w:rFonts w:ascii="Times New Roman" w:hAnsi="Times New Roman" w:cs="Times New Roman"/>
          <w:b/>
          <w:sz w:val="24"/>
          <w:szCs w:val="24"/>
        </w:rPr>
      </w:pPr>
    </w:p>
    <w:p w14:paraId="7B178F00" w14:textId="77777777" w:rsidR="00A106E4" w:rsidRPr="004A6E37" w:rsidRDefault="00A106E4">
      <w:pPr>
        <w:spacing w:after="0" w:line="240" w:lineRule="auto"/>
        <w:rPr>
          <w:rFonts w:ascii="Times New Roman" w:hAnsi="Times New Roman" w:cs="Times New Roman"/>
          <w:b/>
          <w:sz w:val="24"/>
          <w:szCs w:val="24"/>
        </w:rPr>
      </w:pPr>
    </w:p>
    <w:p w14:paraId="51D5FA78" w14:textId="77777777" w:rsidR="00A106E4" w:rsidRPr="004A6E37" w:rsidRDefault="00A106E4">
      <w:pPr>
        <w:spacing w:after="0" w:line="240" w:lineRule="auto"/>
        <w:rPr>
          <w:rFonts w:ascii="Times New Roman" w:hAnsi="Times New Roman" w:cs="Times New Roman"/>
          <w:b/>
          <w:sz w:val="24"/>
          <w:szCs w:val="24"/>
        </w:rPr>
      </w:pPr>
    </w:p>
    <w:p w14:paraId="18F6B705" w14:textId="77777777" w:rsidR="00A106E4" w:rsidRPr="004A6E37" w:rsidRDefault="00A106E4">
      <w:pPr>
        <w:spacing w:after="0" w:line="240" w:lineRule="auto"/>
        <w:rPr>
          <w:rFonts w:ascii="Times New Roman" w:hAnsi="Times New Roman" w:cs="Times New Roman"/>
          <w:b/>
          <w:sz w:val="24"/>
          <w:szCs w:val="24"/>
        </w:rPr>
      </w:pPr>
    </w:p>
    <w:p w14:paraId="4BD80419" w14:textId="77777777" w:rsidR="00A106E4" w:rsidRPr="004A6E37" w:rsidRDefault="00A106E4">
      <w:pPr>
        <w:spacing w:after="0" w:line="240" w:lineRule="auto"/>
        <w:rPr>
          <w:rFonts w:ascii="Times New Roman" w:hAnsi="Times New Roman" w:cs="Times New Roman"/>
          <w:b/>
          <w:sz w:val="24"/>
          <w:szCs w:val="24"/>
        </w:rPr>
      </w:pPr>
    </w:p>
    <w:p w14:paraId="3921FF49" w14:textId="77777777" w:rsidR="00A106E4" w:rsidRPr="004A6E37" w:rsidRDefault="00A106E4">
      <w:pPr>
        <w:spacing w:after="0" w:line="240" w:lineRule="auto"/>
        <w:rPr>
          <w:rFonts w:ascii="Times New Roman" w:hAnsi="Times New Roman" w:cs="Times New Roman"/>
          <w:b/>
          <w:sz w:val="24"/>
          <w:szCs w:val="24"/>
        </w:rPr>
      </w:pPr>
    </w:p>
    <w:p w14:paraId="684B62F1" w14:textId="77777777" w:rsidR="00A106E4" w:rsidRPr="004A6E37" w:rsidRDefault="00A106E4">
      <w:pPr>
        <w:spacing w:after="0" w:line="240" w:lineRule="auto"/>
        <w:rPr>
          <w:rFonts w:ascii="Times New Roman" w:hAnsi="Times New Roman" w:cs="Times New Roman"/>
          <w:b/>
          <w:sz w:val="24"/>
          <w:szCs w:val="24"/>
        </w:rPr>
      </w:pPr>
    </w:p>
    <w:p w14:paraId="2F1FA612" w14:textId="77777777" w:rsidR="00A106E4" w:rsidRPr="004A6E37" w:rsidRDefault="00A106E4">
      <w:pPr>
        <w:spacing w:after="0" w:line="240" w:lineRule="auto"/>
        <w:rPr>
          <w:rFonts w:ascii="Times New Roman" w:hAnsi="Times New Roman" w:cs="Times New Roman"/>
          <w:b/>
          <w:sz w:val="24"/>
          <w:szCs w:val="24"/>
        </w:rPr>
      </w:pPr>
    </w:p>
    <w:p w14:paraId="6C32D74E" w14:textId="77777777" w:rsidR="00A106E4" w:rsidRPr="004A6E37" w:rsidRDefault="00A106E4">
      <w:pPr>
        <w:spacing w:after="0" w:line="240" w:lineRule="auto"/>
        <w:rPr>
          <w:rFonts w:ascii="Times New Roman" w:hAnsi="Times New Roman" w:cs="Times New Roman"/>
          <w:b/>
          <w:sz w:val="24"/>
          <w:szCs w:val="24"/>
        </w:rPr>
      </w:pPr>
    </w:p>
    <w:p w14:paraId="757AB236" w14:textId="77777777" w:rsidR="00A106E4" w:rsidRPr="004A6E37" w:rsidRDefault="00A106E4">
      <w:pPr>
        <w:spacing w:after="0" w:line="240" w:lineRule="auto"/>
        <w:rPr>
          <w:rFonts w:ascii="Times New Roman" w:hAnsi="Times New Roman" w:cs="Times New Roman"/>
          <w:b/>
          <w:sz w:val="24"/>
          <w:szCs w:val="24"/>
        </w:rPr>
      </w:pPr>
    </w:p>
    <w:p w14:paraId="7F13AA97" w14:textId="77777777" w:rsidR="004F6315" w:rsidRPr="004A6E37" w:rsidRDefault="004F6315" w:rsidP="00824A9A">
      <w:pPr>
        <w:jc w:val="center"/>
        <w:rPr>
          <w:rFonts w:ascii="Times New Roman" w:hAnsi="Times New Roman" w:cs="Times New Roman"/>
          <w:b/>
          <w:sz w:val="52"/>
          <w:szCs w:val="24"/>
        </w:rPr>
      </w:pPr>
    </w:p>
    <w:p w14:paraId="30844F21" w14:textId="77777777" w:rsidR="004F6315" w:rsidRPr="004A6E37" w:rsidRDefault="004F6315" w:rsidP="00824A9A">
      <w:pPr>
        <w:jc w:val="center"/>
        <w:rPr>
          <w:rFonts w:ascii="Times New Roman" w:hAnsi="Times New Roman" w:cs="Times New Roman"/>
          <w:b/>
          <w:sz w:val="52"/>
          <w:szCs w:val="24"/>
        </w:rPr>
      </w:pPr>
    </w:p>
    <w:p w14:paraId="5EDC6A98" w14:textId="77777777" w:rsidR="004F6315" w:rsidRDefault="004F6315" w:rsidP="00824A9A">
      <w:pPr>
        <w:jc w:val="center"/>
        <w:rPr>
          <w:rFonts w:ascii="Times New Roman" w:hAnsi="Times New Roman" w:cs="Times New Roman"/>
          <w:b/>
          <w:sz w:val="52"/>
          <w:szCs w:val="24"/>
        </w:rPr>
      </w:pPr>
    </w:p>
    <w:p w14:paraId="48F23F9B" w14:textId="77777777" w:rsidR="00300036" w:rsidRPr="004A6E37" w:rsidRDefault="00300036" w:rsidP="001F564C">
      <w:pPr>
        <w:pStyle w:val="Titre1"/>
        <w:numPr>
          <w:ilvl w:val="0"/>
          <w:numId w:val="0"/>
        </w:numPr>
        <w:ind w:left="432"/>
        <w:rPr>
          <w:rFonts w:ascii="Times New Roman" w:hAnsi="Times New Roman" w:cs="Times New Roman"/>
          <w:b/>
          <w:color w:val="auto"/>
          <w:sz w:val="52"/>
          <w:szCs w:val="52"/>
        </w:rPr>
      </w:pPr>
    </w:p>
    <w:p w14:paraId="107EF6DA" w14:textId="77777777" w:rsidR="00300036" w:rsidRPr="004A6E37" w:rsidRDefault="00300036" w:rsidP="001F564C">
      <w:pPr>
        <w:pStyle w:val="Titre1"/>
        <w:numPr>
          <w:ilvl w:val="0"/>
          <w:numId w:val="0"/>
        </w:numPr>
        <w:ind w:left="432"/>
        <w:rPr>
          <w:rFonts w:ascii="Times New Roman" w:hAnsi="Times New Roman" w:cs="Times New Roman"/>
          <w:b/>
          <w:color w:val="auto"/>
          <w:sz w:val="52"/>
          <w:szCs w:val="52"/>
        </w:rPr>
      </w:pPr>
    </w:p>
    <w:p w14:paraId="71D0BEFE" w14:textId="77777777" w:rsidR="009B7F30" w:rsidRPr="004A6E37" w:rsidRDefault="000F23CF" w:rsidP="009E4DCF">
      <w:pPr>
        <w:pStyle w:val="Titre1"/>
        <w:numPr>
          <w:ilvl w:val="0"/>
          <w:numId w:val="0"/>
        </w:numPr>
        <w:pBdr>
          <w:top w:val="single" w:sz="48" w:space="1" w:color="002060" w:shadow="1"/>
          <w:left w:val="single" w:sz="48" w:space="4" w:color="002060" w:shadow="1"/>
          <w:bottom w:val="single" w:sz="48" w:space="1" w:color="002060" w:shadow="1"/>
          <w:right w:val="single" w:sz="48" w:space="4" w:color="002060" w:shadow="1"/>
        </w:pBdr>
        <w:ind w:left="432"/>
        <w:jc w:val="center"/>
        <w:rPr>
          <w:rFonts w:ascii="Times New Roman" w:hAnsi="Times New Roman" w:cs="Times New Roman"/>
          <w:b/>
          <w:color w:val="auto"/>
          <w:sz w:val="48"/>
          <w:szCs w:val="24"/>
        </w:rPr>
      </w:pPr>
      <w:bookmarkStart w:id="59" w:name="_Toc126251886"/>
      <w:r w:rsidRPr="004A6E37">
        <w:rPr>
          <w:rFonts w:ascii="Times New Roman" w:hAnsi="Times New Roman" w:cs="Times New Roman"/>
          <w:b/>
          <w:color w:val="auto"/>
          <w:sz w:val="48"/>
          <w:szCs w:val="24"/>
        </w:rPr>
        <w:t>TROISIEME PARTIE : ÉVALUATION DES RISQUES DE BLANCHIMENT DE CAPITAUX ET DE FINANCEMENT DU TERRORISME AUXQUELS LES PERSONNES MORALES ET LES CONSTRUCTIONS JURIDIQUES SONT EXPOSEES</w:t>
      </w:r>
      <w:bookmarkEnd w:id="59"/>
    </w:p>
    <w:p w14:paraId="703C0025" w14:textId="77777777" w:rsidR="000D3989" w:rsidRPr="004A6E37" w:rsidRDefault="000D3989" w:rsidP="00824A9A">
      <w:pPr>
        <w:jc w:val="center"/>
        <w:rPr>
          <w:rFonts w:ascii="Times New Roman" w:hAnsi="Times New Roman" w:cs="Times New Roman"/>
          <w:b/>
          <w:sz w:val="56"/>
          <w:szCs w:val="56"/>
        </w:rPr>
      </w:pPr>
    </w:p>
    <w:p w14:paraId="48DE7E9B" w14:textId="77777777" w:rsidR="00BD1918" w:rsidRPr="004A6E37" w:rsidRDefault="00BD1918">
      <w:pPr>
        <w:spacing w:after="0" w:line="240" w:lineRule="auto"/>
        <w:rPr>
          <w:rFonts w:ascii="Times New Roman" w:hAnsi="Times New Roman" w:cs="Times New Roman"/>
          <w:b/>
          <w:sz w:val="52"/>
          <w:szCs w:val="24"/>
        </w:rPr>
      </w:pPr>
      <w:r w:rsidRPr="004A6E37">
        <w:rPr>
          <w:rFonts w:ascii="Times New Roman" w:hAnsi="Times New Roman" w:cs="Times New Roman"/>
          <w:b/>
          <w:sz w:val="52"/>
          <w:szCs w:val="24"/>
        </w:rPr>
        <w:br w:type="page"/>
      </w:r>
    </w:p>
    <w:p w14:paraId="1AABE132" w14:textId="77777777" w:rsidR="009B7F30" w:rsidRPr="004A6E37" w:rsidRDefault="00AF6ACD" w:rsidP="001F564C">
      <w:pPr>
        <w:pStyle w:val="Titre2"/>
        <w:numPr>
          <w:ilvl w:val="0"/>
          <w:numId w:val="0"/>
        </w:numPr>
        <w:ind w:left="576"/>
        <w:rPr>
          <w:rFonts w:ascii="Times New Roman" w:hAnsi="Times New Roman" w:cs="Times New Roman"/>
          <w:b/>
          <w:color w:val="auto"/>
          <w:sz w:val="52"/>
          <w:szCs w:val="24"/>
        </w:rPr>
      </w:pPr>
      <w:bookmarkStart w:id="60" w:name="_Toc126251887"/>
      <w:r w:rsidRPr="004A6E37">
        <w:rPr>
          <w:rFonts w:ascii="Times New Roman" w:hAnsi="Times New Roman" w:cs="Times New Roman"/>
          <w:b/>
          <w:color w:val="auto"/>
          <w:sz w:val="24"/>
          <w:szCs w:val="24"/>
        </w:rPr>
        <w:lastRenderedPageBreak/>
        <w:t>I.</w:t>
      </w:r>
      <w:r w:rsidRPr="004A6E37">
        <w:rPr>
          <w:rFonts w:ascii="Times New Roman" w:hAnsi="Times New Roman" w:cs="Times New Roman"/>
          <w:color w:val="auto"/>
          <w:sz w:val="24"/>
          <w:szCs w:val="24"/>
        </w:rPr>
        <w:t xml:space="preserve"> </w:t>
      </w:r>
      <w:r w:rsidR="002E2BE8" w:rsidRPr="004A6E37">
        <w:rPr>
          <w:rFonts w:ascii="Times New Roman" w:hAnsi="Times New Roman" w:cs="Times New Roman"/>
          <w:b/>
          <w:color w:val="auto"/>
          <w:sz w:val="24"/>
          <w:szCs w:val="24"/>
        </w:rPr>
        <w:t>M</w:t>
      </w:r>
      <w:r w:rsidR="00717493" w:rsidRPr="004A6E37">
        <w:rPr>
          <w:rFonts w:ascii="Times New Roman" w:hAnsi="Times New Roman" w:cs="Times New Roman"/>
          <w:b/>
          <w:color w:val="auto"/>
          <w:sz w:val="24"/>
          <w:szCs w:val="24"/>
        </w:rPr>
        <w:t>ETHODOLOGIE UTILISEE</w:t>
      </w:r>
      <w:r w:rsidR="002E2BE8" w:rsidRPr="004A6E37">
        <w:rPr>
          <w:rFonts w:ascii="Times New Roman" w:hAnsi="Times New Roman" w:cs="Times New Roman"/>
          <w:b/>
          <w:color w:val="auto"/>
          <w:sz w:val="24"/>
          <w:szCs w:val="24"/>
        </w:rPr>
        <w:t xml:space="preserve"> (Comparaison avec la méthodologie de l'ENR 2018)</w:t>
      </w:r>
      <w:bookmarkEnd w:id="60"/>
    </w:p>
    <w:p w14:paraId="4EEAE952" w14:textId="77777777" w:rsidR="004606C3" w:rsidRPr="004A6E37" w:rsidRDefault="004606C3" w:rsidP="00BD1918">
      <w:pPr>
        <w:pStyle w:val="Paragraphedeliste"/>
        <w:spacing w:line="360" w:lineRule="auto"/>
        <w:ind w:left="360"/>
        <w:jc w:val="both"/>
        <w:rPr>
          <w:rFonts w:ascii="Times New Roman" w:hAnsi="Times New Roman" w:cs="Times New Roman"/>
          <w:sz w:val="18"/>
          <w:szCs w:val="24"/>
        </w:rPr>
      </w:pPr>
    </w:p>
    <w:p w14:paraId="2505C46F" w14:textId="77777777" w:rsidR="001047E7" w:rsidRPr="004A6E37" w:rsidRDefault="006F01E4" w:rsidP="004606C3">
      <w:pPr>
        <w:pStyle w:val="Paragraphedeliste"/>
        <w:spacing w:line="360" w:lineRule="auto"/>
        <w:ind w:left="142"/>
        <w:jc w:val="both"/>
        <w:rPr>
          <w:rFonts w:ascii="Times New Roman" w:hAnsi="Times New Roman" w:cs="Times New Roman"/>
          <w:sz w:val="24"/>
          <w:szCs w:val="24"/>
        </w:rPr>
      </w:pPr>
      <w:r w:rsidRPr="004A6E37">
        <w:rPr>
          <w:rFonts w:ascii="Times New Roman" w:hAnsi="Times New Roman" w:cs="Times New Roman"/>
          <w:sz w:val="24"/>
          <w:szCs w:val="24"/>
        </w:rPr>
        <w:t>La démarche adoptée suit les principes déf</w:t>
      </w:r>
      <w:r w:rsidR="00716BDB" w:rsidRPr="004A6E37">
        <w:rPr>
          <w:rFonts w:ascii="Times New Roman" w:hAnsi="Times New Roman" w:cs="Times New Roman"/>
          <w:sz w:val="24"/>
          <w:szCs w:val="24"/>
        </w:rPr>
        <w:t>inis par le GAFI (recommandations 24 et 25).</w:t>
      </w:r>
      <w:r w:rsidR="00673F6E" w:rsidRPr="004A6E37">
        <w:rPr>
          <w:rFonts w:ascii="Times New Roman" w:hAnsi="Times New Roman" w:cs="Times New Roman"/>
          <w:sz w:val="24"/>
          <w:szCs w:val="24"/>
        </w:rPr>
        <w:t xml:space="preserve"> Les différentes approches sont illustrées par la figure ci-dessous.</w:t>
      </w:r>
    </w:p>
    <w:p w14:paraId="694DA166" w14:textId="77777777" w:rsidR="00673F6E" w:rsidRPr="004A6E37" w:rsidRDefault="00673F6E" w:rsidP="001047E7">
      <w:pPr>
        <w:pStyle w:val="Paragraphedeliste"/>
        <w:spacing w:line="360" w:lineRule="auto"/>
        <w:ind w:left="360"/>
        <w:jc w:val="both"/>
        <w:rPr>
          <w:rFonts w:ascii="Times New Roman" w:hAnsi="Times New Roman" w:cs="Times New Roman"/>
          <w:sz w:val="24"/>
        </w:rPr>
      </w:pPr>
      <w:r w:rsidRPr="004A6E37">
        <w:rPr>
          <w:rFonts w:ascii="Times New Roman" w:hAnsi="Times New Roman" w:cs="Times New Roman"/>
          <w:noProof/>
          <w:lang w:val="fr-CA" w:eastAsia="fr-CA"/>
        </w:rPr>
        <mc:AlternateContent>
          <mc:Choice Requires="wps">
            <w:drawing>
              <wp:anchor distT="0" distB="0" distL="114300" distR="114300" simplePos="0" relativeHeight="251643392" behindDoc="0" locked="0" layoutInCell="1" allowOverlap="1" wp14:anchorId="7DB6B018" wp14:editId="648E8626">
                <wp:simplePos x="0" y="0"/>
                <wp:positionH relativeFrom="column">
                  <wp:posOffset>4900930</wp:posOffset>
                </wp:positionH>
                <wp:positionV relativeFrom="paragraph">
                  <wp:posOffset>184150</wp:posOffset>
                </wp:positionV>
                <wp:extent cx="800100" cy="342900"/>
                <wp:effectExtent l="0" t="0" r="0" b="31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F0E4BF" w14:textId="77777777" w:rsidR="00382CFA" w:rsidRDefault="00382CFA" w:rsidP="00673F6E">
                            <w:pPr>
                              <w:jc w:val="center"/>
                            </w:pPr>
                            <w:r>
                              <w:t>Contrôler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6B018" id="Zone de texte 15" o:spid="_x0000_s1031" type="#_x0000_t202" style="position:absolute;left:0;text-align:left;margin-left:385.9pt;margin-top:14.5pt;width:63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" fillcolor="#b6dde8" stroked="f" strokeweight=".5pt">
                <v:path arrowok="t"/>
                <v:textbox>
                  <w:txbxContent>
                    <w:p w14:paraId="3CF0E4BF" w14:textId="77777777" w:rsidR="00382CFA" w:rsidRDefault="00382CFA" w:rsidP="00673F6E">
                      <w:pPr>
                        <w:jc w:val="center"/>
                      </w:pPr>
                      <w:r>
                        <w:t>Contrôler</w:t>
                      </w:r>
                    </w:p>
                  </w:txbxContent>
                </v:textbox>
              </v:shape>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27008" behindDoc="0" locked="0" layoutInCell="1" allowOverlap="1" wp14:anchorId="4ABD3C57" wp14:editId="58C0BBF5">
                <wp:simplePos x="0" y="0"/>
                <wp:positionH relativeFrom="column">
                  <wp:posOffset>3157855</wp:posOffset>
                </wp:positionH>
                <wp:positionV relativeFrom="paragraph">
                  <wp:posOffset>174625</wp:posOffset>
                </wp:positionV>
                <wp:extent cx="800100" cy="342900"/>
                <wp:effectExtent l="0" t="0" r="0" b="31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183852" w14:textId="77777777" w:rsidR="00382CFA" w:rsidRDefault="00382CFA" w:rsidP="00673F6E">
                            <w:pPr>
                              <w:jc w:val="center"/>
                            </w:pPr>
                            <w:r>
                              <w:t>Gérer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D3C57" id="Zone de texte 14" o:spid="_x0000_s1032" type="#_x0000_t202" style="position:absolute;left:0;text-align:left;margin-left:248.65pt;margin-top:13.75pt;width:63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" fillcolor="#b6dde8" stroked="f" strokeweight=".5pt">
                <v:path arrowok="t"/>
                <v:textbox>
                  <w:txbxContent>
                    <w:p w14:paraId="6C183852" w14:textId="77777777" w:rsidR="00382CFA" w:rsidRDefault="00382CFA" w:rsidP="00673F6E">
                      <w:pPr>
                        <w:jc w:val="center"/>
                      </w:pPr>
                      <w:r>
                        <w:t>Gérer</w:t>
                      </w:r>
                    </w:p>
                  </w:txbxContent>
                </v:textbox>
              </v:shape>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10624" behindDoc="0" locked="0" layoutInCell="1" allowOverlap="1" wp14:anchorId="74F7847C" wp14:editId="56A28B1F">
                <wp:simplePos x="0" y="0"/>
                <wp:positionH relativeFrom="column">
                  <wp:posOffset>1643380</wp:posOffset>
                </wp:positionH>
                <wp:positionV relativeFrom="paragraph">
                  <wp:posOffset>193675</wp:posOffset>
                </wp:positionV>
                <wp:extent cx="800100" cy="342900"/>
                <wp:effectExtent l="0" t="0" r="0" b="31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04DC76" w14:textId="77777777" w:rsidR="00382CFA" w:rsidRDefault="00382CFA" w:rsidP="00673F6E">
                            <w:r>
                              <w:t>Mesurer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7847C" id="Zone de texte 13" o:spid="_x0000_s1033" type="#_x0000_t202" style="position:absolute;left:0;text-align:left;margin-left:129.4pt;margin-top:15.25pt;width:63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" fillcolor="#b6dde8" stroked="f" strokeweight=".5pt">
                <v:path arrowok="t"/>
                <v:textbox>
                  <w:txbxContent>
                    <w:p w14:paraId="3B04DC76" w14:textId="77777777" w:rsidR="00382CFA" w:rsidRDefault="00382CFA" w:rsidP="00673F6E">
                      <w:r>
                        <w:t>Mesurer</w:t>
                      </w:r>
                    </w:p>
                  </w:txbxContent>
                </v:textbox>
              </v:shape>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02432" behindDoc="0" locked="0" layoutInCell="1" allowOverlap="1" wp14:anchorId="34C00AB1" wp14:editId="4666E764">
                <wp:simplePos x="0" y="0"/>
                <wp:positionH relativeFrom="column">
                  <wp:posOffset>157480</wp:posOffset>
                </wp:positionH>
                <wp:positionV relativeFrom="paragraph">
                  <wp:posOffset>193675</wp:posOffset>
                </wp:positionV>
                <wp:extent cx="800100" cy="342900"/>
                <wp:effectExtent l="0" t="0" r="0" b="31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10DC6A" w14:textId="77777777" w:rsidR="00382CFA" w:rsidRDefault="00382CFA" w:rsidP="00673F6E">
                            <w:r>
                              <w:t>Identifier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00AB1" id="Zone de texte 12" o:spid="_x0000_s1034" type="#_x0000_t202" style="position:absolute;left:0;text-align:left;margin-left:12.4pt;margin-top:15.25pt;width:63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" fillcolor="#b6dde8" stroked="f" strokeweight=".5pt">
                <v:path arrowok="t"/>
                <v:textbox>
                  <w:txbxContent>
                    <w:p w14:paraId="0E10DC6A" w14:textId="77777777" w:rsidR="00382CFA" w:rsidRDefault="00382CFA" w:rsidP="00673F6E">
                      <w:r>
                        <w:t>Identifier</w:t>
                      </w:r>
                    </w:p>
                  </w:txbxContent>
                </v:textbox>
              </v:shape>
            </w:pict>
          </mc:Fallback>
        </mc:AlternateContent>
      </w:r>
    </w:p>
    <w:p w14:paraId="6235C668" w14:textId="77777777" w:rsidR="00673F6E" w:rsidRPr="004A6E37" w:rsidRDefault="00673F6E" w:rsidP="00673F6E">
      <w:pPr>
        <w:spacing w:line="360" w:lineRule="auto"/>
        <w:jc w:val="both"/>
        <w:rPr>
          <w:rFonts w:ascii="Times New Roman" w:hAnsi="Times New Roman" w:cs="Times New Roman"/>
          <w:sz w:val="24"/>
          <w:szCs w:val="24"/>
        </w:rPr>
      </w:pPr>
    </w:p>
    <w:p w14:paraId="44096364" w14:textId="77777777" w:rsidR="00673F6E" w:rsidRPr="004A6E37" w:rsidRDefault="00673F6E" w:rsidP="00673F6E">
      <w:pPr>
        <w:spacing w:line="360" w:lineRule="auto"/>
        <w:jc w:val="both"/>
        <w:rPr>
          <w:rFonts w:ascii="Times New Roman" w:hAnsi="Times New Roman" w:cs="Times New Roman"/>
          <w:sz w:val="24"/>
          <w:szCs w:val="24"/>
        </w:rPr>
      </w:pPr>
      <w:r w:rsidRPr="004A6E37">
        <w:rPr>
          <w:rFonts w:ascii="Times New Roman" w:hAnsi="Times New Roman" w:cs="Times New Roman"/>
          <w:noProof/>
          <w:lang w:val="fr-CA" w:eastAsia="fr-CA"/>
        </w:rPr>
        <mc:AlternateContent>
          <mc:Choice Requires="wps">
            <w:drawing>
              <wp:anchor distT="0" distB="0" distL="114300" distR="114300" simplePos="0" relativeHeight="251658752" behindDoc="0" locked="0" layoutInCell="1" allowOverlap="1" wp14:anchorId="74C7BEEB" wp14:editId="2DF4242D">
                <wp:simplePos x="0" y="0"/>
                <wp:positionH relativeFrom="column">
                  <wp:posOffset>534670</wp:posOffset>
                </wp:positionH>
                <wp:positionV relativeFrom="paragraph">
                  <wp:posOffset>0</wp:posOffset>
                </wp:positionV>
                <wp:extent cx="647700" cy="409575"/>
                <wp:effectExtent l="5715" t="11430" r="13335" b="762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09575"/>
                        </a:xfrm>
                        <a:prstGeom prst="line">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48DB1" id="Connecteur droit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0" to="93.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" strokecolor="#31849b"/>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707904" behindDoc="0" locked="0" layoutInCell="1" allowOverlap="1" wp14:anchorId="0A1C8DEB" wp14:editId="047D335C">
                <wp:simplePos x="0" y="0"/>
                <wp:positionH relativeFrom="column">
                  <wp:posOffset>4310380</wp:posOffset>
                </wp:positionH>
                <wp:positionV relativeFrom="paragraph">
                  <wp:posOffset>1270</wp:posOffset>
                </wp:positionV>
                <wp:extent cx="914400" cy="390525"/>
                <wp:effectExtent l="9525" t="12700" r="9525" b="63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90525"/>
                        </a:xfrm>
                        <a:prstGeom prst="line">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3C6526" id="Connecteur droit 10"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pt,.1pt" to="411.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" strokecolor="#31849b"/>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99712" behindDoc="0" locked="0" layoutInCell="1" allowOverlap="1" wp14:anchorId="522812BC" wp14:editId="6663869E">
                <wp:simplePos x="0" y="0"/>
                <wp:positionH relativeFrom="column">
                  <wp:posOffset>2700655</wp:posOffset>
                </wp:positionH>
                <wp:positionV relativeFrom="paragraph">
                  <wp:posOffset>10795</wp:posOffset>
                </wp:positionV>
                <wp:extent cx="847725" cy="390525"/>
                <wp:effectExtent l="9525" t="12700" r="9525" b="63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390525"/>
                        </a:xfrm>
                        <a:prstGeom prst="line">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A32D03" id="Connecteur droit 9"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85pt" to="279.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" strokecolor="#31849b"/>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91520" behindDoc="0" locked="0" layoutInCell="1" allowOverlap="1" wp14:anchorId="133050D0" wp14:editId="3F99073E">
                <wp:simplePos x="0" y="0"/>
                <wp:positionH relativeFrom="column">
                  <wp:posOffset>3548380</wp:posOffset>
                </wp:positionH>
                <wp:positionV relativeFrom="paragraph">
                  <wp:posOffset>1270</wp:posOffset>
                </wp:positionV>
                <wp:extent cx="762000" cy="381000"/>
                <wp:effectExtent l="9525" t="12700" r="9525" b="63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81000"/>
                        </a:xfrm>
                        <a:prstGeom prst="line">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4F7CB6" id="Connecteur droit 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1pt" to="339.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" strokecolor="#31849b"/>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83328" behindDoc="0" locked="0" layoutInCell="1" allowOverlap="1" wp14:anchorId="6CB79A88" wp14:editId="5AB03869">
                <wp:simplePos x="0" y="0"/>
                <wp:positionH relativeFrom="column">
                  <wp:posOffset>1967230</wp:posOffset>
                </wp:positionH>
                <wp:positionV relativeFrom="paragraph">
                  <wp:posOffset>10795</wp:posOffset>
                </wp:positionV>
                <wp:extent cx="733425" cy="409575"/>
                <wp:effectExtent l="9525" t="12700" r="9525" b="63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409575"/>
                        </a:xfrm>
                        <a:prstGeom prst="line">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6BAA46" id="Connecteur droit 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4.9pt,.85pt" to="212.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" strokecolor="#31849b"/>
            </w:pict>
          </mc:Fallback>
        </mc:AlternateContent>
      </w:r>
      <w:r w:rsidRPr="004A6E37">
        <w:rPr>
          <w:rFonts w:ascii="Times New Roman" w:hAnsi="Times New Roman" w:cs="Times New Roman"/>
          <w:noProof/>
          <w:lang w:val="fr-CA" w:eastAsia="fr-CA"/>
        </w:rPr>
        <mc:AlternateContent>
          <mc:Choice Requires="wps">
            <w:drawing>
              <wp:anchor distT="0" distB="0" distL="114300" distR="114300" simplePos="0" relativeHeight="251672064" behindDoc="0" locked="0" layoutInCell="1" allowOverlap="1" wp14:anchorId="3570E84A" wp14:editId="478C380C">
                <wp:simplePos x="0" y="0"/>
                <wp:positionH relativeFrom="column">
                  <wp:posOffset>1186180</wp:posOffset>
                </wp:positionH>
                <wp:positionV relativeFrom="paragraph">
                  <wp:posOffset>10795</wp:posOffset>
                </wp:positionV>
                <wp:extent cx="781050" cy="390525"/>
                <wp:effectExtent l="9525" t="12700" r="9525" b="63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390525"/>
                        </a:xfrm>
                        <a:prstGeom prst="line">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0B59A1" id="Connecteur droit 6"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85pt" to="154.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" strokecolor="#31849b"/>
            </w:pict>
          </mc:Fallback>
        </mc:AlternateContent>
      </w:r>
    </w:p>
    <w:p w14:paraId="3736C47A" w14:textId="77777777" w:rsidR="00673F6E" w:rsidRPr="004A6E37" w:rsidRDefault="00673F6E" w:rsidP="00673F6E">
      <w:pPr>
        <w:pStyle w:val="Paragraphedeliste"/>
        <w:spacing w:line="360" w:lineRule="auto"/>
        <w:ind w:left="360"/>
        <w:jc w:val="both"/>
        <w:rPr>
          <w:rFonts w:ascii="Times New Roman" w:hAnsi="Times New Roman" w:cs="Times New Roman"/>
          <w:sz w:val="24"/>
          <w:szCs w:val="24"/>
        </w:rPr>
      </w:pPr>
      <w:r w:rsidRPr="004A6E37">
        <w:rPr>
          <w:rFonts w:ascii="Times New Roman" w:hAnsi="Times New Roman" w:cs="Times New Roman"/>
          <w:noProof/>
          <w:sz w:val="24"/>
          <w:szCs w:val="24"/>
          <w:lang w:val="fr-CA" w:eastAsia="fr-CA"/>
        </w:rPr>
        <mc:AlternateContent>
          <mc:Choice Requires="wps">
            <w:drawing>
              <wp:anchor distT="0" distB="0" distL="114300" distR="114300" simplePos="0" relativeHeight="251635200" behindDoc="0" locked="0" layoutInCell="1" allowOverlap="1" wp14:anchorId="694F040A" wp14:editId="175AF21D">
                <wp:simplePos x="0" y="0"/>
                <wp:positionH relativeFrom="column">
                  <wp:posOffset>4027805</wp:posOffset>
                </wp:positionH>
                <wp:positionV relativeFrom="paragraph">
                  <wp:posOffset>20955</wp:posOffset>
                </wp:positionV>
                <wp:extent cx="800100" cy="342900"/>
                <wp:effectExtent l="3175"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25002F" w14:textId="77777777" w:rsidR="00382CFA" w:rsidRDefault="00382CFA" w:rsidP="00673F6E">
                            <w:r>
                              <w:t>Maîtriser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F040A" id="Zone de texte 5" o:spid="_x0000_s1035" type="#_x0000_t202" style="position:absolute;left:0;text-align:left;margin-left:317.15pt;margin-top:1.65pt;width:6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" fillcolor="#b6dde8" stroked="f" strokeweight=".5pt">
                <v:path arrowok="t"/>
                <v:textbox>
                  <w:txbxContent>
                    <w:p w14:paraId="5325002F" w14:textId="77777777" w:rsidR="00382CFA" w:rsidRDefault="00382CFA" w:rsidP="00673F6E">
                      <w:r>
                        <w:t>Maîtriser</w:t>
                      </w:r>
                    </w:p>
                  </w:txbxContent>
                </v:textbox>
              </v:shape>
            </w:pict>
          </mc:Fallback>
        </mc:AlternateContent>
      </w:r>
      <w:r w:rsidRPr="004A6E37">
        <w:rPr>
          <w:rFonts w:ascii="Times New Roman" w:hAnsi="Times New Roman" w:cs="Times New Roman"/>
          <w:noProof/>
          <w:sz w:val="24"/>
          <w:szCs w:val="24"/>
          <w:lang w:val="fr-CA" w:eastAsia="fr-CA"/>
        </w:rPr>
        <mc:AlternateContent>
          <mc:Choice Requires="wps">
            <w:drawing>
              <wp:anchor distT="0" distB="0" distL="114300" distR="114300" simplePos="0" relativeHeight="251618816" behindDoc="0" locked="0" layoutInCell="1" allowOverlap="1" wp14:anchorId="17070D64" wp14:editId="04997A6A">
                <wp:simplePos x="0" y="0"/>
                <wp:positionH relativeFrom="column">
                  <wp:posOffset>2352675</wp:posOffset>
                </wp:positionH>
                <wp:positionV relativeFrom="paragraph">
                  <wp:posOffset>12065</wp:posOffset>
                </wp:positionV>
                <wp:extent cx="800100" cy="342900"/>
                <wp:effectExtent l="4445" t="3175"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B2CFA1" w14:textId="77777777" w:rsidR="00382CFA" w:rsidRDefault="00382CFA" w:rsidP="00673F6E">
                            <w:r>
                              <w:t>Surveiller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70D64" id="Zone de texte 4" o:spid="_x0000_s1036" type="#_x0000_t202" style="position:absolute;left:0;text-align:left;margin-left:185.25pt;margin-top:.95pt;width:63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" fillcolor="#b6dde8" stroked="f" strokeweight=".5pt">
                <v:path arrowok="t"/>
                <v:textbox>
                  <w:txbxContent>
                    <w:p w14:paraId="01B2CFA1" w14:textId="77777777" w:rsidR="00382CFA" w:rsidRDefault="00382CFA" w:rsidP="00673F6E">
                      <w:r>
                        <w:t>Surveiller</w:t>
                      </w:r>
                    </w:p>
                  </w:txbxContent>
                </v:textbox>
              </v:shape>
            </w:pict>
          </mc:Fallback>
        </mc:AlternateContent>
      </w:r>
      <w:r w:rsidRPr="004A6E37">
        <w:rPr>
          <w:rFonts w:ascii="Times New Roman" w:hAnsi="Times New Roman" w:cs="Times New Roman"/>
          <w:noProof/>
          <w:sz w:val="24"/>
          <w:szCs w:val="24"/>
          <w:lang w:val="fr-CA" w:eastAsia="fr-CA"/>
        </w:rPr>
        <mc:AlternateContent>
          <mc:Choice Requires="wps">
            <w:drawing>
              <wp:anchor distT="0" distB="0" distL="114300" distR="114300" simplePos="0" relativeHeight="251594240" behindDoc="0" locked="0" layoutInCell="1" allowOverlap="1" wp14:anchorId="0EF9FA1F" wp14:editId="26FD20EC">
                <wp:simplePos x="0" y="0"/>
                <wp:positionH relativeFrom="column">
                  <wp:posOffset>742950</wp:posOffset>
                </wp:positionH>
                <wp:positionV relativeFrom="paragraph">
                  <wp:posOffset>27940</wp:posOffset>
                </wp:positionV>
                <wp:extent cx="800100" cy="342900"/>
                <wp:effectExtent l="4445"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B6DD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812169" w14:textId="77777777" w:rsidR="00382CFA" w:rsidRDefault="00382CFA" w:rsidP="00673F6E">
                            <w:r>
                              <w:t>Détecter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9FA1F" id="Zone de texte 1" o:spid="_x0000_s1037" type="#_x0000_t202" style="position:absolute;left:0;text-align:left;margin-left:58.5pt;margin-top:2.2pt;width:63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" fillcolor="#b6dde8" stroked="f" strokeweight=".5pt">
                <v:path arrowok="t"/>
                <v:textbox>
                  <w:txbxContent>
                    <w:p w14:paraId="35812169" w14:textId="77777777" w:rsidR="00382CFA" w:rsidRDefault="00382CFA" w:rsidP="00673F6E">
                      <w:r>
                        <w:t>Détecter</w:t>
                      </w:r>
                    </w:p>
                  </w:txbxContent>
                </v:textbox>
              </v:shape>
            </w:pict>
          </mc:Fallback>
        </mc:AlternateContent>
      </w:r>
    </w:p>
    <w:p w14:paraId="4B1C4B4B" w14:textId="77777777" w:rsidR="00673F6E" w:rsidRPr="004A6E37" w:rsidRDefault="00673F6E" w:rsidP="00673F6E">
      <w:pPr>
        <w:pStyle w:val="Paragraphedeliste"/>
        <w:spacing w:line="360" w:lineRule="auto"/>
        <w:ind w:left="360"/>
        <w:jc w:val="both"/>
        <w:rPr>
          <w:rFonts w:ascii="Times New Roman" w:hAnsi="Times New Roman" w:cs="Times New Roman"/>
          <w:sz w:val="24"/>
          <w:szCs w:val="24"/>
        </w:rPr>
      </w:pPr>
    </w:p>
    <w:p w14:paraId="17816752" w14:textId="77777777" w:rsidR="00673F6E" w:rsidRPr="004A6E37" w:rsidRDefault="00673F6E" w:rsidP="00A6761D">
      <w:pPr>
        <w:spacing w:before="120"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La présente évaluation des risques auxquels sont exposées les personnes morales</w:t>
      </w:r>
      <w:r w:rsidRPr="004A6E37">
        <w:rPr>
          <w:rFonts w:ascii="Times New Roman" w:eastAsia="Times New Roman" w:hAnsi="Times New Roman" w:cs="Times New Roman"/>
          <w:sz w:val="24"/>
          <w:szCs w:val="24"/>
        </w:rPr>
        <w:t xml:space="preserve"> a été effectuée suivant </w:t>
      </w:r>
      <w:r w:rsidRPr="004A6E37">
        <w:rPr>
          <w:rFonts w:ascii="Times New Roman" w:hAnsi="Times New Roman" w:cs="Times New Roman"/>
          <w:sz w:val="24"/>
          <w:szCs w:val="24"/>
        </w:rPr>
        <w:t>les principes définis par le GAFI et</w:t>
      </w:r>
      <w:r w:rsidRPr="004A6E37">
        <w:rPr>
          <w:rFonts w:ascii="Times New Roman" w:eastAsia="Times New Roman" w:hAnsi="Times New Roman" w:cs="Times New Roman"/>
          <w:sz w:val="24"/>
          <w:szCs w:val="24"/>
        </w:rPr>
        <w:t xml:space="preserve"> sur la base du guide méthodologique de la Banque Mondiale, pour les personnes morales, des entretiens, des ques</w:t>
      </w:r>
      <w:r w:rsidR="00A6761D" w:rsidRPr="004A6E37">
        <w:rPr>
          <w:rFonts w:ascii="Times New Roman" w:eastAsia="Times New Roman" w:hAnsi="Times New Roman" w:cs="Times New Roman"/>
          <w:sz w:val="24"/>
          <w:szCs w:val="24"/>
        </w:rPr>
        <w:t>tionnaires aux cibles enquêtées</w:t>
      </w:r>
      <w:r w:rsidRPr="004A6E37">
        <w:rPr>
          <w:rFonts w:ascii="Times New Roman" w:eastAsia="Times New Roman" w:hAnsi="Times New Roman" w:cs="Times New Roman"/>
          <w:sz w:val="24"/>
          <w:szCs w:val="24"/>
        </w:rPr>
        <w:t xml:space="preserve"> et aux autorités administratives impliquées en matière de LBC/FT.</w:t>
      </w:r>
      <w:r w:rsidRPr="004A6E37">
        <w:rPr>
          <w:rFonts w:ascii="Times New Roman" w:hAnsi="Times New Roman" w:cs="Times New Roman"/>
          <w:sz w:val="24"/>
          <w:szCs w:val="24"/>
        </w:rPr>
        <w:t xml:space="preserve"> </w:t>
      </w:r>
    </w:p>
    <w:p w14:paraId="5A657DEB" w14:textId="77777777" w:rsidR="00673F6E" w:rsidRPr="004A6E37" w:rsidRDefault="000F1455" w:rsidP="00A6761D">
      <w:pPr>
        <w:spacing w:before="120" w:after="0"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Pour la mise en œuvre</w:t>
      </w:r>
      <w:r w:rsidR="003F11A1" w:rsidRPr="004A6E37">
        <w:rPr>
          <w:rFonts w:ascii="Times New Roman" w:eastAsia="Times New Roman" w:hAnsi="Times New Roman" w:cs="Times New Roman"/>
          <w:sz w:val="24"/>
          <w:szCs w:val="24"/>
        </w:rPr>
        <w:t xml:space="preserve"> de l’évaluation,</w:t>
      </w:r>
      <w:r w:rsidR="00BC42B6" w:rsidRPr="004A6E37">
        <w:rPr>
          <w:rFonts w:ascii="Times New Roman" w:eastAsia="Times New Roman" w:hAnsi="Times New Roman" w:cs="Times New Roman"/>
          <w:sz w:val="24"/>
          <w:szCs w:val="24"/>
        </w:rPr>
        <w:t xml:space="preserve"> les</w:t>
      </w:r>
      <w:r w:rsidR="00673F6E" w:rsidRPr="004A6E37">
        <w:rPr>
          <w:rFonts w:ascii="Times New Roman" w:eastAsia="Times New Roman" w:hAnsi="Times New Roman" w:cs="Times New Roman"/>
          <w:sz w:val="24"/>
          <w:szCs w:val="24"/>
        </w:rPr>
        <w:t xml:space="preserve"> tableurs Excel </w:t>
      </w:r>
      <w:r w:rsidR="00BC42B6" w:rsidRPr="004A6E37">
        <w:rPr>
          <w:rFonts w:ascii="Times New Roman" w:eastAsia="Times New Roman" w:hAnsi="Times New Roman" w:cs="Times New Roman"/>
          <w:sz w:val="24"/>
          <w:szCs w:val="24"/>
        </w:rPr>
        <w:t xml:space="preserve">de l’outil de la banque mondiale sont utilisés. Ils </w:t>
      </w:r>
      <w:r w:rsidR="00673F6E" w:rsidRPr="004A6E37">
        <w:rPr>
          <w:rFonts w:ascii="Times New Roman" w:eastAsia="Times New Roman" w:hAnsi="Times New Roman" w:cs="Times New Roman"/>
          <w:sz w:val="24"/>
          <w:szCs w:val="24"/>
        </w:rPr>
        <w:t xml:space="preserve">sont alimentés par les données collectées, les interviews et analyses des Experts ainsi que les variables évaluées (variables d’entrées et intermédiaires). </w:t>
      </w:r>
    </w:p>
    <w:p w14:paraId="029C8501" w14:textId="77777777" w:rsidR="00673F6E" w:rsidRPr="004A6E37" w:rsidRDefault="00673F6E" w:rsidP="00A6761D">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Ainsi, dans le cadre de la présente étude, des questionnaires ont été administrés auprès de la </w:t>
      </w:r>
      <w:r w:rsidR="00A6761D" w:rsidRPr="004A6E37">
        <w:rPr>
          <w:rFonts w:ascii="Times New Roman" w:hAnsi="Times New Roman" w:cs="Times New Roman"/>
          <w:sz w:val="24"/>
          <w:szCs w:val="24"/>
        </w:rPr>
        <w:t>cellule de planification et de statistique (</w:t>
      </w:r>
      <w:r w:rsidRPr="004A6E37">
        <w:rPr>
          <w:rFonts w:ascii="Times New Roman" w:hAnsi="Times New Roman" w:cs="Times New Roman"/>
          <w:sz w:val="24"/>
          <w:szCs w:val="24"/>
        </w:rPr>
        <w:t>CPS</w:t>
      </w:r>
      <w:r w:rsidR="00A6761D" w:rsidRPr="004A6E37">
        <w:rPr>
          <w:rFonts w:ascii="Times New Roman" w:hAnsi="Times New Roman" w:cs="Times New Roman"/>
          <w:sz w:val="24"/>
          <w:szCs w:val="24"/>
        </w:rPr>
        <w:t>)</w:t>
      </w:r>
      <w:r w:rsidRPr="004A6E37">
        <w:rPr>
          <w:rFonts w:ascii="Times New Roman" w:hAnsi="Times New Roman" w:cs="Times New Roman"/>
          <w:sz w:val="24"/>
          <w:szCs w:val="24"/>
        </w:rPr>
        <w:t xml:space="preserve"> du ministère de la justice, des pôles judiciaires spécialisés de la C</w:t>
      </w:r>
      <w:r w:rsidR="00A6761D" w:rsidRPr="004A6E37">
        <w:rPr>
          <w:rFonts w:ascii="Times New Roman" w:hAnsi="Times New Roman" w:cs="Times New Roman"/>
          <w:sz w:val="24"/>
          <w:szCs w:val="24"/>
        </w:rPr>
        <w:t xml:space="preserve">ommune </w:t>
      </w:r>
      <w:r w:rsidRPr="004A6E37">
        <w:rPr>
          <w:rFonts w:ascii="Times New Roman" w:hAnsi="Times New Roman" w:cs="Times New Roman"/>
          <w:sz w:val="24"/>
          <w:szCs w:val="24"/>
        </w:rPr>
        <w:t>III et</w:t>
      </w:r>
      <w:r w:rsidR="00A6761D" w:rsidRPr="004A6E37">
        <w:rPr>
          <w:rFonts w:ascii="Times New Roman" w:hAnsi="Times New Roman" w:cs="Times New Roman"/>
          <w:sz w:val="24"/>
          <w:szCs w:val="24"/>
        </w:rPr>
        <w:t xml:space="preserve"> la Commune</w:t>
      </w:r>
      <w:r w:rsidRPr="004A6E37">
        <w:rPr>
          <w:rFonts w:ascii="Times New Roman" w:hAnsi="Times New Roman" w:cs="Times New Roman"/>
          <w:sz w:val="24"/>
          <w:szCs w:val="24"/>
        </w:rPr>
        <w:t xml:space="preserve"> CVI</w:t>
      </w:r>
      <w:r w:rsidR="00A6761D" w:rsidRPr="004A6E37">
        <w:rPr>
          <w:rFonts w:ascii="Times New Roman" w:hAnsi="Times New Roman" w:cs="Times New Roman"/>
          <w:sz w:val="24"/>
          <w:szCs w:val="24"/>
        </w:rPr>
        <w:t xml:space="preserve"> du District de Bamako</w:t>
      </w:r>
      <w:r w:rsidRPr="004A6E37">
        <w:rPr>
          <w:rFonts w:ascii="Times New Roman" w:hAnsi="Times New Roman" w:cs="Times New Roman"/>
          <w:sz w:val="24"/>
          <w:szCs w:val="24"/>
        </w:rPr>
        <w:t xml:space="preserve">, </w:t>
      </w:r>
      <w:r w:rsidR="00B35977" w:rsidRPr="004A6E37">
        <w:rPr>
          <w:rFonts w:ascii="Times New Roman" w:hAnsi="Times New Roman" w:cs="Times New Roman"/>
          <w:sz w:val="24"/>
          <w:szCs w:val="24"/>
        </w:rPr>
        <w:t xml:space="preserve">de </w:t>
      </w:r>
      <w:r w:rsidRPr="004A6E37">
        <w:rPr>
          <w:rFonts w:ascii="Times New Roman" w:hAnsi="Times New Roman" w:cs="Times New Roman"/>
          <w:sz w:val="24"/>
          <w:szCs w:val="24"/>
        </w:rPr>
        <w:t xml:space="preserve">la CENTIF, </w:t>
      </w:r>
      <w:r w:rsidR="00B35977" w:rsidRPr="004A6E37">
        <w:rPr>
          <w:rFonts w:ascii="Times New Roman" w:hAnsi="Times New Roman" w:cs="Times New Roman"/>
          <w:sz w:val="24"/>
          <w:szCs w:val="24"/>
        </w:rPr>
        <w:t xml:space="preserve">de </w:t>
      </w:r>
      <w:r w:rsidRPr="004A6E37">
        <w:rPr>
          <w:rFonts w:ascii="Times New Roman" w:hAnsi="Times New Roman" w:cs="Times New Roman"/>
          <w:sz w:val="24"/>
          <w:szCs w:val="24"/>
        </w:rPr>
        <w:t>l’API</w:t>
      </w:r>
      <w:r w:rsidR="006D72DE" w:rsidRPr="004A6E37">
        <w:rPr>
          <w:rFonts w:ascii="Times New Roman" w:hAnsi="Times New Roman" w:cs="Times New Roman"/>
          <w:sz w:val="24"/>
          <w:szCs w:val="24"/>
        </w:rPr>
        <w:t>-MALI</w:t>
      </w:r>
      <w:r w:rsidRPr="004A6E37">
        <w:rPr>
          <w:rFonts w:ascii="Times New Roman" w:hAnsi="Times New Roman" w:cs="Times New Roman"/>
          <w:sz w:val="24"/>
          <w:szCs w:val="24"/>
        </w:rPr>
        <w:t xml:space="preserve">, </w:t>
      </w:r>
      <w:r w:rsidR="00B35977" w:rsidRPr="004A6E37">
        <w:rPr>
          <w:rFonts w:ascii="Times New Roman" w:hAnsi="Times New Roman" w:cs="Times New Roman"/>
          <w:sz w:val="24"/>
          <w:szCs w:val="24"/>
        </w:rPr>
        <w:t xml:space="preserve">de </w:t>
      </w:r>
      <w:r w:rsidRPr="004A6E37">
        <w:rPr>
          <w:rFonts w:ascii="Times New Roman" w:hAnsi="Times New Roman" w:cs="Times New Roman"/>
          <w:sz w:val="24"/>
          <w:szCs w:val="24"/>
        </w:rPr>
        <w:t>l</w:t>
      </w:r>
      <w:r w:rsidR="00B35977" w:rsidRPr="004A6E37">
        <w:rPr>
          <w:rFonts w:ascii="Times New Roman" w:hAnsi="Times New Roman" w:cs="Times New Roman"/>
          <w:sz w:val="24"/>
          <w:szCs w:val="24"/>
        </w:rPr>
        <w:t>a Direction générale des impôts et</w:t>
      </w:r>
      <w:r w:rsidRPr="004A6E37">
        <w:rPr>
          <w:rFonts w:ascii="Times New Roman" w:hAnsi="Times New Roman" w:cs="Times New Roman"/>
          <w:sz w:val="24"/>
          <w:szCs w:val="24"/>
        </w:rPr>
        <w:t xml:space="preserve"> </w:t>
      </w:r>
      <w:r w:rsidR="00B35977" w:rsidRPr="004A6E37">
        <w:rPr>
          <w:rFonts w:ascii="Times New Roman" w:hAnsi="Times New Roman" w:cs="Times New Roman"/>
          <w:sz w:val="24"/>
          <w:szCs w:val="24"/>
        </w:rPr>
        <w:t>du</w:t>
      </w:r>
      <w:r w:rsidRPr="004A6E37">
        <w:rPr>
          <w:rFonts w:ascii="Times New Roman" w:hAnsi="Times New Roman" w:cs="Times New Roman"/>
          <w:sz w:val="24"/>
          <w:szCs w:val="24"/>
        </w:rPr>
        <w:t xml:space="preserve"> tribunal du Commerce de Bamako. Aussi, les  responsables ont eu des entretiens avec l’équipe d’experts. </w:t>
      </w:r>
    </w:p>
    <w:p w14:paraId="49A728AA" w14:textId="77777777" w:rsidR="00673F6E" w:rsidRPr="004A6E37" w:rsidRDefault="00673F6E" w:rsidP="00A6761D">
      <w:pPr>
        <w:spacing w:before="120"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L’analyse des </w:t>
      </w:r>
      <w:r w:rsidR="001B5B40" w:rsidRPr="004A6E37">
        <w:rPr>
          <w:rFonts w:ascii="Times New Roman" w:hAnsi="Times New Roman" w:cs="Times New Roman"/>
          <w:sz w:val="24"/>
          <w:szCs w:val="24"/>
        </w:rPr>
        <w:t>menaces</w:t>
      </w:r>
      <w:r w:rsidRPr="004A6E37">
        <w:rPr>
          <w:rFonts w:ascii="Times New Roman" w:hAnsi="Times New Roman" w:cs="Times New Roman"/>
          <w:sz w:val="24"/>
          <w:szCs w:val="24"/>
        </w:rPr>
        <w:t xml:space="preserve"> a été</w:t>
      </w:r>
      <w:r w:rsidR="009544E7" w:rsidRPr="004A6E37">
        <w:rPr>
          <w:rFonts w:ascii="Times New Roman" w:hAnsi="Times New Roman" w:cs="Times New Roman"/>
          <w:sz w:val="24"/>
          <w:szCs w:val="24"/>
        </w:rPr>
        <w:t xml:space="preserve"> réalisée </w:t>
      </w:r>
      <w:r w:rsidRPr="004A6E37">
        <w:rPr>
          <w:rFonts w:ascii="Times New Roman" w:hAnsi="Times New Roman" w:cs="Times New Roman"/>
          <w:sz w:val="24"/>
          <w:szCs w:val="24"/>
        </w:rPr>
        <w:t>en procédant à une étude quantitative des données</w:t>
      </w:r>
      <w:r w:rsidR="009544E7" w:rsidRPr="004A6E37">
        <w:rPr>
          <w:rFonts w:ascii="Times New Roman" w:hAnsi="Times New Roman" w:cs="Times New Roman"/>
          <w:sz w:val="24"/>
          <w:szCs w:val="24"/>
        </w:rPr>
        <w:t xml:space="preserve"> disponibles (enquête</w:t>
      </w:r>
      <w:r w:rsidRPr="004A6E37">
        <w:rPr>
          <w:rFonts w:ascii="Times New Roman" w:hAnsi="Times New Roman" w:cs="Times New Roman"/>
          <w:sz w:val="24"/>
          <w:szCs w:val="24"/>
        </w:rPr>
        <w:t>,</w:t>
      </w:r>
      <w:r w:rsidR="009544E7" w:rsidRPr="004A6E37">
        <w:rPr>
          <w:rFonts w:ascii="Times New Roman" w:hAnsi="Times New Roman" w:cs="Times New Roman"/>
          <w:sz w:val="24"/>
          <w:szCs w:val="24"/>
        </w:rPr>
        <w:t xml:space="preserve"> poursuites, condamnations,</w:t>
      </w:r>
      <w:r w:rsidRPr="004A6E37">
        <w:rPr>
          <w:rFonts w:ascii="Times New Roman" w:hAnsi="Times New Roman" w:cs="Times New Roman"/>
          <w:sz w:val="24"/>
          <w:szCs w:val="24"/>
        </w:rPr>
        <w:t xml:space="preserve"> s</w:t>
      </w:r>
      <w:r w:rsidR="009544E7" w:rsidRPr="004A6E37">
        <w:rPr>
          <w:rFonts w:ascii="Times New Roman" w:hAnsi="Times New Roman" w:cs="Times New Roman"/>
          <w:sz w:val="24"/>
          <w:szCs w:val="24"/>
        </w:rPr>
        <w:t xml:space="preserve">aisies de produits illicites, manquements aux obligations de déclarations </w:t>
      </w:r>
      <w:r w:rsidRPr="004A6E37">
        <w:rPr>
          <w:rFonts w:ascii="Times New Roman" w:hAnsi="Times New Roman" w:cs="Times New Roman"/>
          <w:sz w:val="24"/>
          <w:szCs w:val="24"/>
        </w:rPr>
        <w:t xml:space="preserve">de soupçon) ainsi qu’une analyse qualitative, issue de cas typologiques et des retours d’expériences des administrations et autorités concernées par la LCB/FT, </w:t>
      </w:r>
      <w:r w:rsidR="009544E7" w:rsidRPr="004A6E37">
        <w:rPr>
          <w:rFonts w:ascii="Times New Roman" w:hAnsi="Times New Roman" w:cs="Times New Roman"/>
          <w:sz w:val="24"/>
          <w:szCs w:val="24"/>
        </w:rPr>
        <w:t>et</w:t>
      </w:r>
      <w:r w:rsidRPr="004A6E37">
        <w:rPr>
          <w:rFonts w:ascii="Times New Roman" w:hAnsi="Times New Roman" w:cs="Times New Roman"/>
          <w:sz w:val="24"/>
          <w:szCs w:val="24"/>
        </w:rPr>
        <w:t xml:space="preserve"> du secteur privé.</w:t>
      </w:r>
      <w:r w:rsidR="009C6614" w:rsidRPr="004A6E37">
        <w:rPr>
          <w:rFonts w:ascii="Times New Roman" w:hAnsi="Times New Roman" w:cs="Times New Roman"/>
          <w:sz w:val="24"/>
          <w:szCs w:val="24"/>
        </w:rPr>
        <w:t xml:space="preserve"> </w:t>
      </w:r>
      <w:r w:rsidRPr="004A6E37">
        <w:rPr>
          <w:rFonts w:ascii="Times New Roman" w:hAnsi="Times New Roman" w:cs="Times New Roman"/>
          <w:sz w:val="24"/>
          <w:szCs w:val="24"/>
        </w:rPr>
        <w:t xml:space="preserve">Sur la base de cette analyse, </w:t>
      </w:r>
      <w:r w:rsidR="00D47C3E" w:rsidRPr="004A6E37">
        <w:rPr>
          <w:rFonts w:ascii="Times New Roman" w:hAnsi="Times New Roman" w:cs="Times New Roman"/>
          <w:sz w:val="24"/>
          <w:szCs w:val="24"/>
        </w:rPr>
        <w:t>le niveau des menaces aux</w:t>
      </w:r>
      <w:r w:rsidR="001047E7" w:rsidRPr="004A6E37">
        <w:rPr>
          <w:rFonts w:ascii="Times New Roman" w:hAnsi="Times New Roman" w:cs="Times New Roman"/>
          <w:sz w:val="24"/>
          <w:szCs w:val="24"/>
        </w:rPr>
        <w:t>quels chaque</w:t>
      </w:r>
      <w:r w:rsidRPr="004A6E37">
        <w:rPr>
          <w:rFonts w:ascii="Times New Roman" w:hAnsi="Times New Roman" w:cs="Times New Roman"/>
          <w:sz w:val="24"/>
          <w:szCs w:val="24"/>
        </w:rPr>
        <w:t xml:space="preserve"> PMCJ </w:t>
      </w:r>
      <w:r w:rsidR="001047E7" w:rsidRPr="004A6E37">
        <w:rPr>
          <w:rFonts w:ascii="Times New Roman" w:hAnsi="Times New Roman" w:cs="Times New Roman"/>
          <w:sz w:val="24"/>
          <w:szCs w:val="24"/>
        </w:rPr>
        <w:t xml:space="preserve">est exposée </w:t>
      </w:r>
      <w:r w:rsidRPr="004A6E37">
        <w:rPr>
          <w:rFonts w:ascii="Times New Roman" w:hAnsi="Times New Roman" w:cs="Times New Roman"/>
          <w:sz w:val="24"/>
          <w:szCs w:val="24"/>
        </w:rPr>
        <w:t xml:space="preserve">a fait l’objet d’une cotation </w:t>
      </w:r>
      <w:r w:rsidR="00575896" w:rsidRPr="004A6E37">
        <w:rPr>
          <w:rFonts w:ascii="Times New Roman" w:hAnsi="Times New Roman" w:cs="Times New Roman"/>
          <w:sz w:val="24"/>
          <w:szCs w:val="24"/>
        </w:rPr>
        <w:t>ci-dessous dans le tableau</w:t>
      </w:r>
      <w:r w:rsidRPr="004A6E37">
        <w:rPr>
          <w:rFonts w:ascii="Times New Roman" w:hAnsi="Times New Roman" w:cs="Times New Roman"/>
          <w:sz w:val="24"/>
          <w:szCs w:val="24"/>
        </w:rPr>
        <w:t xml:space="preserve"> (exposition faible, </w:t>
      </w:r>
      <w:r w:rsidR="001047E7" w:rsidRPr="004A6E37">
        <w:rPr>
          <w:rFonts w:ascii="Times New Roman" w:hAnsi="Times New Roman" w:cs="Times New Roman"/>
          <w:sz w:val="24"/>
          <w:szCs w:val="24"/>
        </w:rPr>
        <w:t>modérée et</w:t>
      </w:r>
      <w:r w:rsidRPr="004A6E37">
        <w:rPr>
          <w:rFonts w:ascii="Times New Roman" w:hAnsi="Times New Roman" w:cs="Times New Roman"/>
          <w:sz w:val="24"/>
          <w:szCs w:val="24"/>
        </w:rPr>
        <w:t xml:space="preserve"> élevée)</w:t>
      </w:r>
      <w:r w:rsidR="001047E7" w:rsidRPr="004A6E37">
        <w:rPr>
          <w:rFonts w:ascii="Times New Roman" w:hAnsi="Times New Roman" w:cs="Times New Roman"/>
          <w:sz w:val="24"/>
          <w:szCs w:val="24"/>
        </w:rPr>
        <w:t>.</w:t>
      </w:r>
    </w:p>
    <w:p w14:paraId="2CCFEF88" w14:textId="77777777" w:rsidR="00575896" w:rsidRPr="004A6E37" w:rsidRDefault="00575896" w:rsidP="00673F6E">
      <w:pPr>
        <w:pStyle w:val="Paragraphedeliste"/>
        <w:spacing w:before="150" w:after="150" w:line="360" w:lineRule="auto"/>
        <w:ind w:left="862" w:right="525"/>
        <w:jc w:val="both"/>
        <w:rPr>
          <w:rFonts w:ascii="Times New Roman" w:eastAsia="Times New Roman" w:hAnsi="Times New Roman" w:cs="Times New Roman"/>
          <w:sz w:val="24"/>
          <w:szCs w:val="24"/>
        </w:rPr>
      </w:pPr>
    </w:p>
    <w:p w14:paraId="402502DB" w14:textId="77777777" w:rsidR="00E63976" w:rsidRPr="004A6E37" w:rsidRDefault="00E63976" w:rsidP="00673F6E">
      <w:pPr>
        <w:pStyle w:val="Paragraphedeliste"/>
        <w:spacing w:before="150" w:after="150" w:line="360" w:lineRule="auto"/>
        <w:ind w:left="862" w:right="525"/>
        <w:jc w:val="both"/>
        <w:rPr>
          <w:rFonts w:ascii="Times New Roman" w:eastAsia="Times New Roman" w:hAnsi="Times New Roman" w:cs="Times New Roman"/>
          <w:sz w:val="24"/>
          <w:szCs w:val="24"/>
        </w:rPr>
      </w:pPr>
    </w:p>
    <w:p w14:paraId="66EB6C37" w14:textId="77777777" w:rsidR="00E63976" w:rsidRPr="004A6E37" w:rsidRDefault="00E63976" w:rsidP="00673F6E">
      <w:pPr>
        <w:pStyle w:val="Paragraphedeliste"/>
        <w:spacing w:before="150" w:after="150" w:line="360" w:lineRule="auto"/>
        <w:ind w:left="862" w:right="525"/>
        <w:jc w:val="both"/>
        <w:rPr>
          <w:rFonts w:ascii="Times New Roman" w:eastAsia="Times New Roman" w:hAnsi="Times New Roman" w:cs="Times New Roman"/>
          <w:sz w:val="24"/>
          <w:szCs w:val="24"/>
        </w:rPr>
      </w:pPr>
    </w:p>
    <w:p w14:paraId="70A35FF5" w14:textId="77777777" w:rsidR="00E63976" w:rsidRDefault="00E63976" w:rsidP="00673F6E">
      <w:pPr>
        <w:pStyle w:val="Paragraphedeliste"/>
        <w:spacing w:before="150" w:after="150" w:line="360" w:lineRule="auto"/>
        <w:ind w:left="862" w:right="525"/>
        <w:jc w:val="both"/>
        <w:rPr>
          <w:rFonts w:ascii="Times New Roman" w:eastAsia="Times New Roman" w:hAnsi="Times New Roman" w:cs="Times New Roman"/>
          <w:sz w:val="24"/>
          <w:szCs w:val="24"/>
        </w:rPr>
      </w:pPr>
    </w:p>
    <w:p w14:paraId="46A51C03" w14:textId="77777777" w:rsidR="00673F6E" w:rsidRPr="004A6E37" w:rsidRDefault="001047E7" w:rsidP="00673F6E">
      <w:pPr>
        <w:pStyle w:val="Paragraphedeliste"/>
        <w:spacing w:before="150" w:after="150" w:line="360" w:lineRule="auto"/>
        <w:ind w:left="862" w:right="525"/>
        <w:jc w:val="both"/>
        <w:rPr>
          <w:rFonts w:ascii="Times New Roman" w:hAnsi="Times New Roman" w:cs="Times New Roman"/>
          <w:b/>
          <w:i/>
          <w:sz w:val="24"/>
          <w:szCs w:val="24"/>
        </w:rPr>
      </w:pPr>
      <w:r w:rsidRPr="004A6E37">
        <w:rPr>
          <w:rFonts w:ascii="Times New Roman" w:eastAsia="Times New Roman" w:hAnsi="Times New Roman" w:cs="Times New Roman"/>
          <w:b/>
          <w:i/>
          <w:sz w:val="24"/>
          <w:szCs w:val="24"/>
        </w:rPr>
        <w:lastRenderedPageBreak/>
        <w:t xml:space="preserve">Tableau N°2 </w:t>
      </w:r>
      <w:r w:rsidR="00673F6E" w:rsidRPr="004A6E37">
        <w:rPr>
          <w:rFonts w:ascii="Times New Roman" w:eastAsia="Times New Roman" w:hAnsi="Times New Roman" w:cs="Times New Roman"/>
          <w:b/>
          <w:i/>
          <w:sz w:val="24"/>
          <w:szCs w:val="24"/>
        </w:rPr>
        <w:t xml:space="preserve">: </w:t>
      </w:r>
      <w:r w:rsidR="00673F6E" w:rsidRPr="004A6E37">
        <w:rPr>
          <w:rFonts w:ascii="Times New Roman" w:hAnsi="Times New Roman" w:cs="Times New Roman"/>
          <w:b/>
          <w:i/>
          <w:sz w:val="24"/>
          <w:szCs w:val="24"/>
        </w:rPr>
        <w:t>Exemple d’échell</w:t>
      </w:r>
      <w:r w:rsidR="00463F8E" w:rsidRPr="004A6E37">
        <w:rPr>
          <w:rFonts w:ascii="Times New Roman" w:hAnsi="Times New Roman" w:cs="Times New Roman"/>
          <w:b/>
          <w:i/>
          <w:sz w:val="24"/>
          <w:szCs w:val="24"/>
        </w:rPr>
        <w:t>es de probabilité</w:t>
      </w:r>
    </w:p>
    <w:tbl>
      <w:tblPr>
        <w:tblStyle w:val="Grilledutableau"/>
        <w:tblW w:w="5000" w:type="pct"/>
        <w:tblLook w:val="04A0" w:firstRow="1" w:lastRow="0" w:firstColumn="1" w:lastColumn="0" w:noHBand="0" w:noVBand="1"/>
      </w:tblPr>
      <w:tblGrid>
        <w:gridCol w:w="3432"/>
        <w:gridCol w:w="1355"/>
        <w:gridCol w:w="4700"/>
      </w:tblGrid>
      <w:tr w:rsidR="009B7BE3" w:rsidRPr="00684B6E" w14:paraId="273AAF8D" w14:textId="77777777" w:rsidTr="00294246">
        <w:tc>
          <w:tcPr>
            <w:tcW w:w="5000" w:type="pct"/>
            <w:gridSpan w:val="3"/>
          </w:tcPr>
          <w:p w14:paraId="4730690B" w14:textId="77777777" w:rsidR="009B7BE3" w:rsidRPr="00684B6E" w:rsidRDefault="009B7BE3"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ECHELLE  DE PROBABILITES</w:t>
            </w:r>
          </w:p>
        </w:tc>
      </w:tr>
      <w:tr w:rsidR="00463F8E" w:rsidRPr="00684B6E" w14:paraId="1240573C" w14:textId="77777777" w:rsidTr="00294246">
        <w:tc>
          <w:tcPr>
            <w:tcW w:w="1809" w:type="pct"/>
          </w:tcPr>
          <w:p w14:paraId="116D84EC"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Excellent</w:t>
            </w:r>
          </w:p>
        </w:tc>
        <w:tc>
          <w:tcPr>
            <w:tcW w:w="714" w:type="pct"/>
          </w:tcPr>
          <w:p w14:paraId="31911D43"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1.0</w:t>
            </w:r>
          </w:p>
        </w:tc>
        <w:tc>
          <w:tcPr>
            <w:tcW w:w="2476" w:type="pct"/>
            <w:vMerge w:val="restart"/>
          </w:tcPr>
          <w:p w14:paraId="271C70C7"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sz w:val="24"/>
                <w:szCs w:val="24"/>
              </w:rPr>
            </w:pPr>
          </w:p>
          <w:p w14:paraId="091F492E" w14:textId="77777777" w:rsidR="00575896" w:rsidRPr="00684B6E" w:rsidRDefault="00575896" w:rsidP="00575896">
            <w:pPr>
              <w:pStyle w:val="Paragraphedeliste"/>
              <w:spacing w:before="100" w:beforeAutospacing="1" w:after="100" w:afterAutospacing="1" w:line="360" w:lineRule="auto"/>
              <w:ind w:left="0" w:right="525"/>
              <w:jc w:val="both"/>
              <w:rPr>
                <w:rFonts w:ascii="Times New Roman" w:eastAsia="Times New Roman" w:hAnsi="Times New Roman" w:cs="Times New Roman"/>
                <w:sz w:val="24"/>
                <w:szCs w:val="24"/>
              </w:rPr>
            </w:pPr>
          </w:p>
          <w:p w14:paraId="104716BF" w14:textId="77777777" w:rsidR="00463F8E" w:rsidRPr="00684B6E" w:rsidRDefault="00463F8E" w:rsidP="00575896">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sz w:val="24"/>
                <w:szCs w:val="24"/>
              </w:rPr>
              <w:t>Risque</w:t>
            </w:r>
            <w:r w:rsidR="00575896" w:rsidRPr="00684B6E">
              <w:rPr>
                <w:rFonts w:ascii="Times New Roman" w:eastAsia="Times New Roman" w:hAnsi="Times New Roman" w:cs="Times New Roman"/>
                <w:sz w:val="24"/>
                <w:szCs w:val="24"/>
              </w:rPr>
              <w:t xml:space="preserve"> </w:t>
            </w:r>
            <w:r w:rsidR="00575896" w:rsidRPr="00684B6E">
              <w:rPr>
                <w:rFonts w:ascii="Times New Roman" w:hAnsi="Times New Roman" w:cs="Times New Roman"/>
                <w:sz w:val="24"/>
                <w:szCs w:val="24"/>
              </w:rPr>
              <w:t>élevé</w:t>
            </w:r>
          </w:p>
        </w:tc>
      </w:tr>
      <w:tr w:rsidR="00463F8E" w:rsidRPr="00684B6E" w14:paraId="5CE6C07D" w14:textId="77777777" w:rsidTr="00294246">
        <w:tc>
          <w:tcPr>
            <w:tcW w:w="1809" w:type="pct"/>
          </w:tcPr>
          <w:p w14:paraId="495F54F7"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Presque excellent</w:t>
            </w:r>
          </w:p>
        </w:tc>
        <w:tc>
          <w:tcPr>
            <w:tcW w:w="714" w:type="pct"/>
          </w:tcPr>
          <w:p w14:paraId="694B5C19"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0.9</w:t>
            </w:r>
          </w:p>
        </w:tc>
        <w:tc>
          <w:tcPr>
            <w:tcW w:w="2476" w:type="pct"/>
            <w:vMerge/>
          </w:tcPr>
          <w:p w14:paraId="0B191928"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p>
        </w:tc>
      </w:tr>
      <w:tr w:rsidR="00463F8E" w:rsidRPr="00684B6E" w14:paraId="2365643B" w14:textId="77777777" w:rsidTr="00294246">
        <w:tc>
          <w:tcPr>
            <w:tcW w:w="1809" w:type="pct"/>
          </w:tcPr>
          <w:p w14:paraId="1B7354A7"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Très élevé</w:t>
            </w:r>
          </w:p>
        </w:tc>
        <w:tc>
          <w:tcPr>
            <w:tcW w:w="714" w:type="pct"/>
          </w:tcPr>
          <w:p w14:paraId="32834AF5"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0.8</w:t>
            </w:r>
          </w:p>
        </w:tc>
        <w:tc>
          <w:tcPr>
            <w:tcW w:w="2476" w:type="pct"/>
            <w:vMerge/>
          </w:tcPr>
          <w:p w14:paraId="71DF6CFF"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p>
        </w:tc>
      </w:tr>
      <w:tr w:rsidR="00463F8E" w:rsidRPr="00684B6E" w14:paraId="39378446" w14:textId="77777777" w:rsidTr="00294246">
        <w:tc>
          <w:tcPr>
            <w:tcW w:w="1809" w:type="pct"/>
          </w:tcPr>
          <w:p w14:paraId="03C2ED00" w14:textId="77777777" w:rsidR="00463F8E" w:rsidRPr="00684B6E" w:rsidRDefault="00575896"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Elevé</w:t>
            </w:r>
          </w:p>
        </w:tc>
        <w:tc>
          <w:tcPr>
            <w:tcW w:w="714" w:type="pct"/>
          </w:tcPr>
          <w:p w14:paraId="680ACA00"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0.7</w:t>
            </w:r>
          </w:p>
        </w:tc>
        <w:tc>
          <w:tcPr>
            <w:tcW w:w="2476" w:type="pct"/>
            <w:vMerge/>
          </w:tcPr>
          <w:p w14:paraId="00F45A44"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p>
        </w:tc>
      </w:tr>
      <w:tr w:rsidR="00463F8E" w:rsidRPr="00684B6E" w14:paraId="4A833DF9" w14:textId="77777777" w:rsidTr="00294246">
        <w:tc>
          <w:tcPr>
            <w:tcW w:w="1809" w:type="pct"/>
          </w:tcPr>
          <w:p w14:paraId="21DA334C"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Moyennement élevé</w:t>
            </w:r>
          </w:p>
        </w:tc>
        <w:tc>
          <w:tcPr>
            <w:tcW w:w="714" w:type="pct"/>
          </w:tcPr>
          <w:p w14:paraId="4AEE9C96"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0.6</w:t>
            </w:r>
          </w:p>
        </w:tc>
        <w:tc>
          <w:tcPr>
            <w:tcW w:w="2476" w:type="pct"/>
            <w:vMerge w:val="restart"/>
          </w:tcPr>
          <w:p w14:paraId="3EFA0640" w14:textId="77777777" w:rsidR="007D760B" w:rsidRPr="00684B6E" w:rsidRDefault="007D760B"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sz w:val="24"/>
                <w:szCs w:val="24"/>
              </w:rPr>
            </w:pPr>
          </w:p>
          <w:p w14:paraId="18CEA456" w14:textId="77777777" w:rsidR="00463F8E" w:rsidRPr="00684B6E" w:rsidRDefault="00463F8E" w:rsidP="007D760B">
            <w:pPr>
              <w:pStyle w:val="Paragraphedeliste"/>
              <w:spacing w:before="100" w:beforeAutospacing="1" w:after="100" w:afterAutospacing="1" w:line="360" w:lineRule="auto"/>
              <w:ind w:left="0" w:right="525"/>
              <w:rPr>
                <w:rFonts w:ascii="Times New Roman" w:eastAsia="Times New Roman" w:hAnsi="Times New Roman" w:cs="Times New Roman"/>
                <w:b/>
                <w:sz w:val="24"/>
                <w:szCs w:val="24"/>
              </w:rPr>
            </w:pPr>
            <w:r w:rsidRPr="00684B6E">
              <w:rPr>
                <w:rFonts w:ascii="Times New Roman" w:eastAsia="Times New Roman" w:hAnsi="Times New Roman" w:cs="Times New Roman"/>
                <w:sz w:val="24"/>
                <w:szCs w:val="24"/>
              </w:rPr>
              <w:t>Risque moyennement probable</w:t>
            </w:r>
            <w:r w:rsidR="00575896" w:rsidRPr="00684B6E">
              <w:rPr>
                <w:rFonts w:ascii="Times New Roman" w:eastAsia="Times New Roman" w:hAnsi="Times New Roman" w:cs="Times New Roman"/>
                <w:sz w:val="24"/>
                <w:szCs w:val="24"/>
              </w:rPr>
              <w:t xml:space="preserve"> (</w:t>
            </w:r>
            <w:r w:rsidR="00575896" w:rsidRPr="00684B6E">
              <w:rPr>
                <w:rFonts w:ascii="Times New Roman" w:hAnsi="Times New Roman" w:cs="Times New Roman"/>
                <w:sz w:val="24"/>
                <w:szCs w:val="24"/>
              </w:rPr>
              <w:t>modéré)</w:t>
            </w:r>
          </w:p>
        </w:tc>
      </w:tr>
      <w:tr w:rsidR="00463F8E" w:rsidRPr="00684B6E" w14:paraId="56126CBF" w14:textId="77777777" w:rsidTr="00294246">
        <w:trPr>
          <w:trHeight w:val="220"/>
        </w:trPr>
        <w:tc>
          <w:tcPr>
            <w:tcW w:w="1809" w:type="pct"/>
          </w:tcPr>
          <w:p w14:paraId="27ED6548"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Moyen</w:t>
            </w:r>
          </w:p>
        </w:tc>
        <w:tc>
          <w:tcPr>
            <w:tcW w:w="714" w:type="pct"/>
          </w:tcPr>
          <w:p w14:paraId="59533D3E"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0.5</w:t>
            </w:r>
          </w:p>
        </w:tc>
        <w:tc>
          <w:tcPr>
            <w:tcW w:w="2476" w:type="pct"/>
            <w:vMerge/>
          </w:tcPr>
          <w:p w14:paraId="6961554D"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p>
        </w:tc>
      </w:tr>
      <w:tr w:rsidR="00463F8E" w:rsidRPr="00684B6E" w14:paraId="4917B6B3" w14:textId="77777777" w:rsidTr="00294246">
        <w:tc>
          <w:tcPr>
            <w:tcW w:w="1809" w:type="pct"/>
          </w:tcPr>
          <w:p w14:paraId="1BE2CC4E"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Moyennement bas</w:t>
            </w:r>
          </w:p>
        </w:tc>
        <w:tc>
          <w:tcPr>
            <w:tcW w:w="714" w:type="pct"/>
          </w:tcPr>
          <w:p w14:paraId="66C49BE8"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0.4</w:t>
            </w:r>
          </w:p>
        </w:tc>
        <w:tc>
          <w:tcPr>
            <w:tcW w:w="2476" w:type="pct"/>
            <w:vMerge w:val="restart"/>
          </w:tcPr>
          <w:p w14:paraId="1F9E0FBD"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sz w:val="24"/>
                <w:szCs w:val="24"/>
              </w:rPr>
            </w:pPr>
          </w:p>
          <w:p w14:paraId="0DCE9430" w14:textId="77777777" w:rsidR="00463F8E" w:rsidRPr="00684B6E" w:rsidRDefault="00463F8E" w:rsidP="007D760B">
            <w:pPr>
              <w:pStyle w:val="Paragraphedeliste"/>
              <w:spacing w:before="100" w:beforeAutospacing="1" w:after="100" w:afterAutospacing="1" w:line="360" w:lineRule="auto"/>
              <w:ind w:left="0" w:right="525"/>
              <w:rPr>
                <w:rFonts w:ascii="Times New Roman" w:eastAsia="Times New Roman" w:hAnsi="Times New Roman" w:cs="Times New Roman"/>
                <w:b/>
                <w:sz w:val="24"/>
                <w:szCs w:val="24"/>
              </w:rPr>
            </w:pPr>
            <w:r w:rsidRPr="00684B6E">
              <w:rPr>
                <w:rFonts w:ascii="Times New Roman" w:eastAsia="Times New Roman" w:hAnsi="Times New Roman" w:cs="Times New Roman"/>
                <w:sz w:val="24"/>
                <w:szCs w:val="24"/>
              </w:rPr>
              <w:t>Risque peu probable</w:t>
            </w:r>
            <w:r w:rsidR="00575896" w:rsidRPr="00684B6E">
              <w:rPr>
                <w:rFonts w:ascii="Times New Roman" w:eastAsia="Times New Roman" w:hAnsi="Times New Roman" w:cs="Times New Roman"/>
                <w:sz w:val="24"/>
                <w:szCs w:val="24"/>
              </w:rPr>
              <w:t xml:space="preserve"> (</w:t>
            </w:r>
            <w:r w:rsidR="00575896" w:rsidRPr="00684B6E">
              <w:rPr>
                <w:rFonts w:ascii="Times New Roman" w:hAnsi="Times New Roman" w:cs="Times New Roman"/>
                <w:sz w:val="24"/>
                <w:szCs w:val="24"/>
              </w:rPr>
              <w:t>faible)</w:t>
            </w:r>
          </w:p>
        </w:tc>
      </w:tr>
      <w:tr w:rsidR="00463F8E" w:rsidRPr="00684B6E" w14:paraId="177627A3" w14:textId="77777777" w:rsidTr="00294246">
        <w:tc>
          <w:tcPr>
            <w:tcW w:w="1809" w:type="pct"/>
          </w:tcPr>
          <w:p w14:paraId="2DC8D2E3"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Bas</w:t>
            </w:r>
          </w:p>
        </w:tc>
        <w:tc>
          <w:tcPr>
            <w:tcW w:w="714" w:type="pct"/>
          </w:tcPr>
          <w:p w14:paraId="0C4F0A7C"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0.3</w:t>
            </w:r>
          </w:p>
        </w:tc>
        <w:tc>
          <w:tcPr>
            <w:tcW w:w="2476" w:type="pct"/>
            <w:vMerge/>
          </w:tcPr>
          <w:p w14:paraId="4F51FD7B"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p>
        </w:tc>
      </w:tr>
      <w:tr w:rsidR="00463F8E" w:rsidRPr="00684B6E" w14:paraId="6E909A63" w14:textId="77777777" w:rsidTr="00294246">
        <w:tc>
          <w:tcPr>
            <w:tcW w:w="1809" w:type="pct"/>
          </w:tcPr>
          <w:p w14:paraId="2ADB446D"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Très bas</w:t>
            </w:r>
          </w:p>
        </w:tc>
        <w:tc>
          <w:tcPr>
            <w:tcW w:w="714" w:type="pct"/>
          </w:tcPr>
          <w:p w14:paraId="38DCC385"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0.2</w:t>
            </w:r>
          </w:p>
        </w:tc>
        <w:tc>
          <w:tcPr>
            <w:tcW w:w="2476" w:type="pct"/>
            <w:vMerge/>
          </w:tcPr>
          <w:p w14:paraId="08458875"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p>
        </w:tc>
      </w:tr>
      <w:tr w:rsidR="00463F8E" w:rsidRPr="00684B6E" w14:paraId="2765502B" w14:textId="77777777" w:rsidTr="00294246">
        <w:tc>
          <w:tcPr>
            <w:tcW w:w="1809" w:type="pct"/>
          </w:tcPr>
          <w:p w14:paraId="3C7FB669"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Presque rien</w:t>
            </w:r>
          </w:p>
        </w:tc>
        <w:tc>
          <w:tcPr>
            <w:tcW w:w="714" w:type="pct"/>
          </w:tcPr>
          <w:p w14:paraId="0A85AA19" w14:textId="77777777" w:rsidR="00463F8E" w:rsidRPr="00684B6E" w:rsidRDefault="00463F8E" w:rsidP="007D760B">
            <w:pPr>
              <w:pStyle w:val="Paragraphedeliste"/>
              <w:spacing w:before="100" w:beforeAutospacing="1" w:after="100" w:afterAutospacing="1" w:line="360" w:lineRule="auto"/>
              <w:ind w:left="0" w:right="525"/>
              <w:jc w:val="center"/>
              <w:rPr>
                <w:rFonts w:ascii="Times New Roman" w:eastAsia="Times New Roman" w:hAnsi="Times New Roman" w:cs="Times New Roman"/>
                <w:b/>
                <w:sz w:val="24"/>
                <w:szCs w:val="24"/>
              </w:rPr>
            </w:pPr>
            <w:r w:rsidRPr="00684B6E">
              <w:rPr>
                <w:rFonts w:ascii="Times New Roman" w:eastAsia="Times New Roman" w:hAnsi="Times New Roman" w:cs="Times New Roman"/>
                <w:b/>
                <w:sz w:val="24"/>
                <w:szCs w:val="24"/>
              </w:rPr>
              <w:t>0.1</w:t>
            </w:r>
          </w:p>
        </w:tc>
        <w:tc>
          <w:tcPr>
            <w:tcW w:w="2476" w:type="pct"/>
          </w:tcPr>
          <w:p w14:paraId="44DB2D4A" w14:textId="77777777" w:rsidR="00463F8E" w:rsidRPr="00684B6E" w:rsidRDefault="00463F8E" w:rsidP="007D760B">
            <w:pPr>
              <w:pStyle w:val="Paragraphedeliste"/>
              <w:spacing w:before="100" w:beforeAutospacing="1" w:after="100" w:afterAutospacing="1" w:line="360" w:lineRule="auto"/>
              <w:ind w:left="0" w:right="525"/>
              <w:jc w:val="both"/>
              <w:rPr>
                <w:rFonts w:ascii="Times New Roman" w:eastAsia="Times New Roman" w:hAnsi="Times New Roman" w:cs="Times New Roman"/>
                <w:b/>
                <w:sz w:val="24"/>
                <w:szCs w:val="24"/>
              </w:rPr>
            </w:pPr>
            <w:r w:rsidRPr="00684B6E">
              <w:rPr>
                <w:rFonts w:ascii="Times New Roman" w:eastAsia="Times New Roman" w:hAnsi="Times New Roman" w:cs="Times New Roman"/>
                <w:sz w:val="24"/>
                <w:szCs w:val="24"/>
              </w:rPr>
              <w:t>Risque très peu probable</w:t>
            </w:r>
            <w:r w:rsidR="00575896" w:rsidRPr="00684B6E">
              <w:rPr>
                <w:rFonts w:ascii="Times New Roman" w:eastAsia="Times New Roman" w:hAnsi="Times New Roman" w:cs="Times New Roman"/>
                <w:sz w:val="24"/>
                <w:szCs w:val="24"/>
              </w:rPr>
              <w:t xml:space="preserve"> (faible)</w:t>
            </w:r>
          </w:p>
        </w:tc>
      </w:tr>
    </w:tbl>
    <w:p w14:paraId="74C144C1" w14:textId="77777777" w:rsidR="008852DD" w:rsidRPr="004A6E37" w:rsidRDefault="008852DD" w:rsidP="008852DD">
      <w:pPr>
        <w:rPr>
          <w:rFonts w:ascii="Times New Roman" w:hAnsi="Times New Roman" w:cs="Times New Roman"/>
          <w:sz w:val="14"/>
          <w:szCs w:val="24"/>
        </w:rPr>
      </w:pPr>
    </w:p>
    <w:p w14:paraId="357796BA" w14:textId="77777777" w:rsidR="008852DD" w:rsidRPr="004A6E37" w:rsidRDefault="008852DD" w:rsidP="00350A4F">
      <w:p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De l’analyse des questionnaires et des entretiens, il ressort  des cas  de poursuite de personnes morales</w:t>
      </w:r>
      <w:r w:rsidR="00BE4E6B" w:rsidRPr="004A6E37">
        <w:rPr>
          <w:rFonts w:ascii="Times New Roman" w:hAnsi="Times New Roman" w:cs="Times New Roman"/>
          <w:sz w:val="24"/>
          <w:szCs w:val="24"/>
        </w:rPr>
        <w:t xml:space="preserve"> pour infractions</w:t>
      </w:r>
      <w:r w:rsidRPr="004A6E37">
        <w:rPr>
          <w:rFonts w:ascii="Times New Roman" w:hAnsi="Times New Roman" w:cs="Times New Roman"/>
          <w:sz w:val="24"/>
          <w:szCs w:val="24"/>
        </w:rPr>
        <w:t xml:space="preserve"> de blanchiment de capitaux et d’infractions sous-jacentes conformément aux tableaux ci-dessous.         </w:t>
      </w:r>
    </w:p>
    <w:p w14:paraId="47DE25BA" w14:textId="77777777" w:rsidR="008852DD" w:rsidRPr="004A6E37" w:rsidRDefault="008852DD" w:rsidP="008852DD">
      <w:pPr>
        <w:jc w:val="center"/>
        <w:rPr>
          <w:rFonts w:ascii="Times New Roman" w:hAnsi="Times New Roman" w:cs="Times New Roman"/>
          <w:b/>
          <w:sz w:val="24"/>
          <w:szCs w:val="24"/>
        </w:rPr>
      </w:pPr>
      <w:r w:rsidRPr="004A6E37">
        <w:rPr>
          <w:rFonts w:ascii="Times New Roman" w:hAnsi="Times New Roman" w:cs="Times New Roman"/>
          <w:b/>
          <w:sz w:val="24"/>
          <w:szCs w:val="24"/>
        </w:rPr>
        <w:t>Infractions relative</w:t>
      </w:r>
      <w:r w:rsidR="003A44CE" w:rsidRPr="004A6E37">
        <w:rPr>
          <w:rFonts w:ascii="Times New Roman" w:hAnsi="Times New Roman" w:cs="Times New Roman"/>
          <w:b/>
          <w:sz w:val="24"/>
          <w:szCs w:val="24"/>
        </w:rPr>
        <w:t>s</w:t>
      </w:r>
      <w:r w:rsidRPr="004A6E37">
        <w:rPr>
          <w:rFonts w:ascii="Times New Roman" w:hAnsi="Times New Roman" w:cs="Times New Roman"/>
          <w:b/>
          <w:sz w:val="24"/>
          <w:szCs w:val="24"/>
        </w:rPr>
        <w:t xml:space="preserve"> au blanchiment de capitaux et </w:t>
      </w:r>
      <w:r w:rsidR="003A44CE" w:rsidRPr="004A6E37">
        <w:rPr>
          <w:rFonts w:ascii="Times New Roman" w:hAnsi="Times New Roman" w:cs="Times New Roman"/>
          <w:b/>
          <w:sz w:val="24"/>
          <w:szCs w:val="24"/>
        </w:rPr>
        <w:t>au</w:t>
      </w:r>
      <w:r w:rsidRPr="004A6E37">
        <w:rPr>
          <w:rFonts w:ascii="Times New Roman" w:hAnsi="Times New Roman" w:cs="Times New Roman"/>
          <w:b/>
          <w:sz w:val="24"/>
          <w:szCs w:val="24"/>
        </w:rPr>
        <w:t xml:space="preserve"> financement du terrorisme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763"/>
        <w:gridCol w:w="2408"/>
        <w:gridCol w:w="2406"/>
      </w:tblGrid>
      <w:tr w:rsidR="008852DD" w:rsidRPr="004A6E37" w14:paraId="2ADEAF4B" w14:textId="77777777" w:rsidTr="00294246">
        <w:tc>
          <w:tcPr>
            <w:tcW w:w="100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05A2757" w14:textId="77777777" w:rsidR="008852DD" w:rsidRPr="004A6E37" w:rsidRDefault="008852DD" w:rsidP="00E63976">
            <w:pPr>
              <w:spacing w:after="0" w:line="256" w:lineRule="auto"/>
              <w:jc w:val="center"/>
              <w:rPr>
                <w:rFonts w:ascii="Times New Roman" w:hAnsi="Times New Roman" w:cs="Times New Roman"/>
                <w:b/>
              </w:rPr>
            </w:pPr>
            <w:r w:rsidRPr="004A6E37">
              <w:rPr>
                <w:rFonts w:ascii="Times New Roman" w:hAnsi="Times New Roman" w:cs="Times New Roman"/>
                <w:b/>
              </w:rPr>
              <w:t>ANNEES</w:t>
            </w:r>
          </w:p>
        </w:tc>
        <w:tc>
          <w:tcPr>
            <w:tcW w:w="145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A3F51F" w14:textId="77777777" w:rsidR="008852DD" w:rsidRPr="004A6E37" w:rsidRDefault="008852DD" w:rsidP="00E63976">
            <w:pPr>
              <w:spacing w:after="0" w:line="256" w:lineRule="auto"/>
              <w:jc w:val="center"/>
              <w:rPr>
                <w:rFonts w:ascii="Times New Roman" w:hAnsi="Times New Roman" w:cs="Times New Roman"/>
                <w:b/>
              </w:rPr>
            </w:pPr>
            <w:r w:rsidRPr="004A6E37">
              <w:rPr>
                <w:rFonts w:ascii="Times New Roman" w:hAnsi="Times New Roman" w:cs="Times New Roman"/>
                <w:b/>
              </w:rPr>
              <w:t>INFRACTIONS BC /FT</w:t>
            </w:r>
          </w:p>
        </w:tc>
        <w:tc>
          <w:tcPr>
            <w:tcW w:w="126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5FF68CC" w14:textId="77777777" w:rsidR="008852DD" w:rsidRPr="004A6E37" w:rsidRDefault="008852DD" w:rsidP="00E63976">
            <w:pPr>
              <w:spacing w:after="0" w:line="256" w:lineRule="auto"/>
              <w:jc w:val="center"/>
              <w:rPr>
                <w:rFonts w:ascii="Times New Roman" w:hAnsi="Times New Roman" w:cs="Times New Roman"/>
                <w:b/>
              </w:rPr>
            </w:pPr>
            <w:r w:rsidRPr="004A6E37">
              <w:rPr>
                <w:rFonts w:ascii="Times New Roman" w:hAnsi="Times New Roman" w:cs="Times New Roman"/>
                <w:b/>
              </w:rPr>
              <w:t>POURSUITES</w:t>
            </w:r>
          </w:p>
        </w:tc>
        <w:tc>
          <w:tcPr>
            <w:tcW w:w="126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643F57" w14:textId="77777777" w:rsidR="008852DD" w:rsidRPr="004A6E37" w:rsidRDefault="008852DD" w:rsidP="00E63976">
            <w:pPr>
              <w:spacing w:after="0" w:line="256" w:lineRule="auto"/>
              <w:jc w:val="center"/>
              <w:rPr>
                <w:rFonts w:ascii="Times New Roman" w:hAnsi="Times New Roman" w:cs="Times New Roman"/>
                <w:b/>
              </w:rPr>
            </w:pPr>
            <w:r w:rsidRPr="004A6E37">
              <w:rPr>
                <w:rFonts w:ascii="Times New Roman" w:hAnsi="Times New Roman" w:cs="Times New Roman"/>
                <w:b/>
              </w:rPr>
              <w:t xml:space="preserve">CONDANATIONS </w:t>
            </w:r>
          </w:p>
        </w:tc>
      </w:tr>
      <w:tr w:rsidR="008852DD" w:rsidRPr="004A6E37" w14:paraId="1762A275" w14:textId="77777777" w:rsidTr="00294246">
        <w:trPr>
          <w:trHeight w:val="283"/>
        </w:trPr>
        <w:tc>
          <w:tcPr>
            <w:tcW w:w="1007" w:type="pct"/>
            <w:tcBorders>
              <w:top w:val="single" w:sz="4" w:space="0" w:color="auto"/>
              <w:left w:val="single" w:sz="4" w:space="0" w:color="auto"/>
              <w:bottom w:val="single" w:sz="4" w:space="0" w:color="auto"/>
              <w:right w:val="single" w:sz="4" w:space="0" w:color="auto"/>
            </w:tcBorders>
            <w:hideMark/>
          </w:tcPr>
          <w:p w14:paraId="3BF79D0C"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2019</w:t>
            </w:r>
          </w:p>
        </w:tc>
        <w:tc>
          <w:tcPr>
            <w:tcW w:w="1456" w:type="pct"/>
            <w:tcBorders>
              <w:top w:val="single" w:sz="4" w:space="0" w:color="auto"/>
              <w:left w:val="single" w:sz="4" w:space="0" w:color="auto"/>
              <w:bottom w:val="single" w:sz="4" w:space="0" w:color="auto"/>
              <w:right w:val="single" w:sz="4" w:space="0" w:color="auto"/>
            </w:tcBorders>
            <w:hideMark/>
          </w:tcPr>
          <w:p w14:paraId="2550B62B"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w:t>
            </w:r>
          </w:p>
        </w:tc>
        <w:tc>
          <w:tcPr>
            <w:tcW w:w="1269" w:type="pct"/>
            <w:tcBorders>
              <w:top w:val="single" w:sz="4" w:space="0" w:color="auto"/>
              <w:left w:val="single" w:sz="4" w:space="0" w:color="auto"/>
              <w:bottom w:val="single" w:sz="4" w:space="0" w:color="auto"/>
              <w:right w:val="single" w:sz="4" w:space="0" w:color="auto"/>
            </w:tcBorders>
            <w:hideMark/>
          </w:tcPr>
          <w:p w14:paraId="24695D2D"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w:t>
            </w:r>
          </w:p>
        </w:tc>
        <w:tc>
          <w:tcPr>
            <w:tcW w:w="1269" w:type="pct"/>
            <w:tcBorders>
              <w:top w:val="single" w:sz="4" w:space="0" w:color="auto"/>
              <w:left w:val="single" w:sz="4" w:space="0" w:color="auto"/>
              <w:bottom w:val="single" w:sz="4" w:space="0" w:color="auto"/>
              <w:right w:val="single" w:sz="4" w:space="0" w:color="auto"/>
            </w:tcBorders>
            <w:hideMark/>
          </w:tcPr>
          <w:p w14:paraId="79283ABF"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1 non-lieu</w:t>
            </w:r>
          </w:p>
        </w:tc>
      </w:tr>
      <w:tr w:rsidR="008852DD" w:rsidRPr="004A6E37" w14:paraId="6FBA2DEF" w14:textId="77777777" w:rsidTr="00294246">
        <w:trPr>
          <w:trHeight w:val="276"/>
        </w:trPr>
        <w:tc>
          <w:tcPr>
            <w:tcW w:w="1007" w:type="pct"/>
            <w:tcBorders>
              <w:top w:val="single" w:sz="4" w:space="0" w:color="auto"/>
              <w:left w:val="single" w:sz="4" w:space="0" w:color="auto"/>
              <w:bottom w:val="single" w:sz="4" w:space="0" w:color="auto"/>
              <w:right w:val="single" w:sz="4" w:space="0" w:color="auto"/>
            </w:tcBorders>
            <w:hideMark/>
          </w:tcPr>
          <w:p w14:paraId="3DFF19BA"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2020</w:t>
            </w:r>
          </w:p>
        </w:tc>
        <w:tc>
          <w:tcPr>
            <w:tcW w:w="1456" w:type="pct"/>
            <w:tcBorders>
              <w:top w:val="single" w:sz="4" w:space="0" w:color="auto"/>
              <w:left w:val="single" w:sz="4" w:space="0" w:color="auto"/>
              <w:bottom w:val="single" w:sz="4" w:space="0" w:color="auto"/>
              <w:right w:val="single" w:sz="4" w:space="0" w:color="auto"/>
            </w:tcBorders>
          </w:tcPr>
          <w:p w14:paraId="7E8AC963"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w:t>
            </w:r>
          </w:p>
        </w:tc>
        <w:tc>
          <w:tcPr>
            <w:tcW w:w="1269" w:type="pct"/>
            <w:tcBorders>
              <w:top w:val="single" w:sz="4" w:space="0" w:color="auto"/>
              <w:left w:val="single" w:sz="4" w:space="0" w:color="auto"/>
              <w:bottom w:val="single" w:sz="4" w:space="0" w:color="auto"/>
              <w:right w:val="single" w:sz="4" w:space="0" w:color="auto"/>
            </w:tcBorders>
          </w:tcPr>
          <w:p w14:paraId="2D5CCC7C"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w:t>
            </w:r>
          </w:p>
        </w:tc>
        <w:tc>
          <w:tcPr>
            <w:tcW w:w="1269" w:type="pct"/>
            <w:tcBorders>
              <w:top w:val="single" w:sz="4" w:space="0" w:color="auto"/>
              <w:left w:val="single" w:sz="4" w:space="0" w:color="auto"/>
              <w:bottom w:val="single" w:sz="4" w:space="0" w:color="auto"/>
              <w:right w:val="single" w:sz="4" w:space="0" w:color="auto"/>
            </w:tcBorders>
          </w:tcPr>
          <w:p w14:paraId="5C1D6BB7"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w:t>
            </w:r>
          </w:p>
        </w:tc>
      </w:tr>
      <w:tr w:rsidR="008852DD" w:rsidRPr="004A6E37" w14:paraId="3911185D" w14:textId="77777777" w:rsidTr="00294246">
        <w:trPr>
          <w:trHeight w:val="254"/>
        </w:trPr>
        <w:tc>
          <w:tcPr>
            <w:tcW w:w="1007" w:type="pct"/>
            <w:tcBorders>
              <w:top w:val="single" w:sz="4" w:space="0" w:color="auto"/>
              <w:left w:val="single" w:sz="4" w:space="0" w:color="auto"/>
              <w:bottom w:val="single" w:sz="4" w:space="0" w:color="auto"/>
              <w:right w:val="single" w:sz="4" w:space="0" w:color="auto"/>
            </w:tcBorders>
            <w:hideMark/>
          </w:tcPr>
          <w:p w14:paraId="54811D96"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2021</w:t>
            </w:r>
          </w:p>
        </w:tc>
        <w:tc>
          <w:tcPr>
            <w:tcW w:w="1456" w:type="pct"/>
            <w:tcBorders>
              <w:top w:val="single" w:sz="4" w:space="0" w:color="auto"/>
              <w:left w:val="single" w:sz="4" w:space="0" w:color="auto"/>
              <w:bottom w:val="single" w:sz="4" w:space="0" w:color="auto"/>
              <w:right w:val="single" w:sz="4" w:space="0" w:color="auto"/>
            </w:tcBorders>
            <w:hideMark/>
          </w:tcPr>
          <w:p w14:paraId="7858F5C1"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w:t>
            </w:r>
          </w:p>
        </w:tc>
        <w:tc>
          <w:tcPr>
            <w:tcW w:w="1269" w:type="pct"/>
            <w:tcBorders>
              <w:top w:val="single" w:sz="4" w:space="0" w:color="auto"/>
              <w:left w:val="single" w:sz="4" w:space="0" w:color="auto"/>
              <w:bottom w:val="single" w:sz="4" w:space="0" w:color="auto"/>
              <w:right w:val="single" w:sz="4" w:space="0" w:color="auto"/>
            </w:tcBorders>
            <w:hideMark/>
          </w:tcPr>
          <w:p w14:paraId="07D8ED65"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2</w:t>
            </w:r>
          </w:p>
        </w:tc>
        <w:tc>
          <w:tcPr>
            <w:tcW w:w="1269" w:type="pct"/>
            <w:tcBorders>
              <w:top w:val="single" w:sz="4" w:space="0" w:color="auto"/>
              <w:left w:val="single" w:sz="4" w:space="0" w:color="auto"/>
              <w:bottom w:val="single" w:sz="4" w:space="0" w:color="auto"/>
              <w:right w:val="single" w:sz="4" w:space="0" w:color="auto"/>
            </w:tcBorders>
            <w:hideMark/>
          </w:tcPr>
          <w:p w14:paraId="2817EDF8" w14:textId="77777777" w:rsidR="008852DD" w:rsidRPr="004A6E37" w:rsidRDefault="008852DD" w:rsidP="00E63976">
            <w:pPr>
              <w:spacing w:after="0" w:line="256" w:lineRule="auto"/>
              <w:jc w:val="center"/>
              <w:rPr>
                <w:rFonts w:ascii="Times New Roman" w:hAnsi="Times New Roman" w:cs="Times New Roman"/>
              </w:rPr>
            </w:pPr>
            <w:r w:rsidRPr="004A6E37">
              <w:rPr>
                <w:rFonts w:ascii="Times New Roman" w:hAnsi="Times New Roman" w:cs="Times New Roman"/>
              </w:rPr>
              <w:t>En cours</w:t>
            </w:r>
          </w:p>
        </w:tc>
      </w:tr>
    </w:tbl>
    <w:p w14:paraId="5FE07662" w14:textId="77777777" w:rsidR="008852DD" w:rsidRPr="004A6E37" w:rsidRDefault="008852DD" w:rsidP="008852DD">
      <w:pPr>
        <w:rPr>
          <w:rFonts w:ascii="Times New Roman" w:hAnsi="Times New Roman" w:cs="Times New Roman"/>
          <w:sz w:val="24"/>
          <w:szCs w:val="24"/>
        </w:rPr>
      </w:pPr>
      <w:r w:rsidRPr="004A6E37">
        <w:rPr>
          <w:rFonts w:ascii="Times New Roman" w:hAnsi="Times New Roman" w:cs="Times New Roman"/>
          <w:sz w:val="24"/>
          <w:szCs w:val="24"/>
        </w:rPr>
        <w:t xml:space="preserve">Source: Pôle judiciaire spécialisé </w:t>
      </w:r>
      <w:r w:rsidRPr="004A6E37">
        <w:rPr>
          <w:rFonts w:ascii="Times New Roman" w:hAnsi="Times New Roman" w:cs="Times New Roman"/>
          <w:sz w:val="20"/>
          <w:szCs w:val="20"/>
        </w:rPr>
        <w:t>CVI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4477"/>
        <w:gridCol w:w="2860"/>
        <w:gridCol w:w="2145"/>
      </w:tblGrid>
      <w:tr w:rsidR="00B709C5" w:rsidRPr="004A6E37" w14:paraId="5C8750F9"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shd w:val="clear" w:color="auto" w:fill="DCE6F1"/>
            <w:hideMark/>
          </w:tcPr>
          <w:p w14:paraId="412A7C32"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 xml:space="preserve">Infractions sous-jacentes </w:t>
            </w:r>
            <w:r w:rsidRPr="004A6E37">
              <w:rPr>
                <w:rFonts w:ascii="Times New Roman" w:eastAsia="Times New Roman" w:hAnsi="Times New Roman" w:cs="Times New Roman"/>
                <w:b/>
                <w:bCs/>
                <w:i/>
                <w:iCs/>
                <w:lang w:eastAsia="fr-FR"/>
              </w:rPr>
              <w:br/>
              <w:t xml:space="preserve">(cette liste doit être modifiée par des évaluateurs) </w:t>
            </w:r>
          </w:p>
        </w:tc>
        <w:tc>
          <w:tcPr>
            <w:tcW w:w="1508" w:type="pct"/>
            <w:tcBorders>
              <w:top w:val="single" w:sz="4" w:space="0" w:color="auto"/>
              <w:left w:val="single" w:sz="8" w:space="0" w:color="auto"/>
              <w:bottom w:val="single" w:sz="4" w:space="0" w:color="auto"/>
              <w:right w:val="single" w:sz="8" w:space="0" w:color="auto"/>
            </w:tcBorders>
            <w:shd w:val="clear" w:color="auto" w:fill="DCE6F1"/>
            <w:hideMark/>
          </w:tcPr>
          <w:p w14:paraId="15EB67E7" w14:textId="77777777" w:rsidR="008852DD" w:rsidRPr="004A6E37" w:rsidRDefault="008852DD" w:rsidP="00B86CE4">
            <w:pPr>
              <w:spacing w:after="200" w:line="276"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Nombre de cas détectés ou faisant l’objet d’enquêtes</w:t>
            </w:r>
          </w:p>
        </w:tc>
        <w:tc>
          <w:tcPr>
            <w:tcW w:w="1131" w:type="pct"/>
            <w:tcBorders>
              <w:top w:val="single" w:sz="4" w:space="0" w:color="auto"/>
              <w:left w:val="single" w:sz="8" w:space="0" w:color="auto"/>
              <w:bottom w:val="single" w:sz="4" w:space="0" w:color="auto"/>
              <w:right w:val="single" w:sz="8" w:space="0" w:color="auto"/>
            </w:tcBorders>
            <w:shd w:val="clear" w:color="auto" w:fill="DCE6F1"/>
            <w:hideMark/>
          </w:tcPr>
          <w:p w14:paraId="02FDC550" w14:textId="77777777" w:rsidR="008852DD" w:rsidRPr="004A6E37" w:rsidRDefault="008852DD" w:rsidP="00B86CE4">
            <w:pPr>
              <w:spacing w:after="200" w:line="276"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 xml:space="preserve">Nombre de personnes objet d’enquête </w:t>
            </w:r>
          </w:p>
        </w:tc>
      </w:tr>
      <w:tr w:rsidR="00B709C5" w:rsidRPr="004A6E37" w14:paraId="103DA0D0"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4E3A422A"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Traite des personnes et pratiques assimilées</w:t>
            </w:r>
          </w:p>
        </w:tc>
        <w:tc>
          <w:tcPr>
            <w:tcW w:w="1508" w:type="pct"/>
            <w:tcBorders>
              <w:top w:val="single" w:sz="4" w:space="0" w:color="auto"/>
              <w:left w:val="single" w:sz="8" w:space="0" w:color="auto"/>
              <w:bottom w:val="single" w:sz="4" w:space="0" w:color="auto"/>
              <w:right w:val="single" w:sz="8" w:space="0" w:color="auto"/>
            </w:tcBorders>
          </w:tcPr>
          <w:p w14:paraId="2C0930B5"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3</w:t>
            </w:r>
          </w:p>
        </w:tc>
        <w:tc>
          <w:tcPr>
            <w:tcW w:w="1131" w:type="pct"/>
            <w:tcBorders>
              <w:top w:val="single" w:sz="4" w:space="0" w:color="auto"/>
              <w:left w:val="single" w:sz="8" w:space="0" w:color="auto"/>
              <w:bottom w:val="single" w:sz="4" w:space="0" w:color="auto"/>
              <w:right w:val="single" w:sz="8" w:space="0" w:color="auto"/>
            </w:tcBorders>
          </w:tcPr>
          <w:p w14:paraId="779E555C"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18</w:t>
            </w:r>
          </w:p>
        </w:tc>
      </w:tr>
      <w:tr w:rsidR="00B709C5" w:rsidRPr="004A6E37" w14:paraId="7204C5FB"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274EFEBE"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Enlèvement, séquestration et prise d'otage</w:t>
            </w:r>
          </w:p>
        </w:tc>
        <w:tc>
          <w:tcPr>
            <w:tcW w:w="1508" w:type="pct"/>
            <w:tcBorders>
              <w:top w:val="single" w:sz="4" w:space="0" w:color="auto"/>
              <w:left w:val="single" w:sz="8" w:space="0" w:color="auto"/>
              <w:bottom w:val="single" w:sz="4" w:space="0" w:color="auto"/>
              <w:right w:val="single" w:sz="8" w:space="0" w:color="auto"/>
            </w:tcBorders>
          </w:tcPr>
          <w:p w14:paraId="1C8F74D3"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2</w:t>
            </w:r>
          </w:p>
        </w:tc>
        <w:tc>
          <w:tcPr>
            <w:tcW w:w="1131" w:type="pct"/>
            <w:tcBorders>
              <w:top w:val="single" w:sz="4" w:space="0" w:color="auto"/>
              <w:left w:val="single" w:sz="8" w:space="0" w:color="auto"/>
              <w:bottom w:val="single" w:sz="4" w:space="0" w:color="auto"/>
              <w:right w:val="single" w:sz="8" w:space="0" w:color="auto"/>
            </w:tcBorders>
          </w:tcPr>
          <w:p w14:paraId="4681862A"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6</w:t>
            </w:r>
          </w:p>
        </w:tc>
      </w:tr>
      <w:tr w:rsidR="00B709C5" w:rsidRPr="004A6E37" w14:paraId="5526E56C"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3C2C2E63"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Atteintes aux biens publics</w:t>
            </w:r>
          </w:p>
        </w:tc>
        <w:tc>
          <w:tcPr>
            <w:tcW w:w="1508" w:type="pct"/>
            <w:tcBorders>
              <w:top w:val="single" w:sz="4" w:space="0" w:color="auto"/>
              <w:left w:val="single" w:sz="8" w:space="0" w:color="auto"/>
              <w:bottom w:val="single" w:sz="4" w:space="0" w:color="auto"/>
              <w:right w:val="single" w:sz="8" w:space="0" w:color="auto"/>
            </w:tcBorders>
          </w:tcPr>
          <w:p w14:paraId="05FC5DB7"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3</w:t>
            </w:r>
          </w:p>
        </w:tc>
        <w:tc>
          <w:tcPr>
            <w:tcW w:w="1131" w:type="pct"/>
            <w:tcBorders>
              <w:top w:val="single" w:sz="4" w:space="0" w:color="auto"/>
              <w:left w:val="single" w:sz="8" w:space="0" w:color="auto"/>
              <w:bottom w:val="single" w:sz="4" w:space="0" w:color="auto"/>
              <w:right w:val="single" w:sz="8" w:space="0" w:color="auto"/>
            </w:tcBorders>
          </w:tcPr>
          <w:p w14:paraId="3DA3EF7A"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19</w:t>
            </w:r>
          </w:p>
        </w:tc>
      </w:tr>
      <w:tr w:rsidR="00B709C5" w:rsidRPr="004A6E37" w14:paraId="737548AE"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503C52B9"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Vol</w:t>
            </w:r>
          </w:p>
        </w:tc>
        <w:tc>
          <w:tcPr>
            <w:tcW w:w="1508" w:type="pct"/>
            <w:tcBorders>
              <w:top w:val="single" w:sz="4" w:space="0" w:color="auto"/>
              <w:left w:val="single" w:sz="8" w:space="0" w:color="auto"/>
              <w:bottom w:val="single" w:sz="4" w:space="0" w:color="auto"/>
              <w:right w:val="single" w:sz="8" w:space="0" w:color="auto"/>
            </w:tcBorders>
          </w:tcPr>
          <w:p w14:paraId="353E7207"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17</w:t>
            </w:r>
          </w:p>
        </w:tc>
        <w:tc>
          <w:tcPr>
            <w:tcW w:w="1131" w:type="pct"/>
            <w:tcBorders>
              <w:top w:val="single" w:sz="4" w:space="0" w:color="auto"/>
              <w:left w:val="single" w:sz="8" w:space="0" w:color="auto"/>
              <w:bottom w:val="single" w:sz="4" w:space="0" w:color="auto"/>
              <w:right w:val="single" w:sz="8" w:space="0" w:color="auto"/>
            </w:tcBorders>
          </w:tcPr>
          <w:p w14:paraId="37A942D2"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24</w:t>
            </w:r>
          </w:p>
        </w:tc>
      </w:tr>
      <w:tr w:rsidR="00B709C5" w:rsidRPr="004A6E37" w14:paraId="1074E98A"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7572259B"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Abus de confiance</w:t>
            </w:r>
          </w:p>
        </w:tc>
        <w:tc>
          <w:tcPr>
            <w:tcW w:w="1508" w:type="pct"/>
            <w:tcBorders>
              <w:top w:val="single" w:sz="4" w:space="0" w:color="auto"/>
              <w:left w:val="single" w:sz="8" w:space="0" w:color="auto"/>
              <w:bottom w:val="single" w:sz="4" w:space="0" w:color="auto"/>
              <w:right w:val="single" w:sz="8" w:space="0" w:color="auto"/>
            </w:tcBorders>
          </w:tcPr>
          <w:p w14:paraId="3719A8D0"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44</w:t>
            </w:r>
          </w:p>
        </w:tc>
        <w:tc>
          <w:tcPr>
            <w:tcW w:w="1131" w:type="pct"/>
            <w:tcBorders>
              <w:top w:val="single" w:sz="4" w:space="0" w:color="auto"/>
              <w:left w:val="single" w:sz="8" w:space="0" w:color="auto"/>
              <w:bottom w:val="single" w:sz="4" w:space="0" w:color="auto"/>
              <w:right w:val="single" w:sz="8" w:space="0" w:color="auto"/>
            </w:tcBorders>
          </w:tcPr>
          <w:p w14:paraId="6E6E16FD"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63</w:t>
            </w:r>
          </w:p>
        </w:tc>
      </w:tr>
      <w:tr w:rsidR="00B709C5" w:rsidRPr="004A6E37" w14:paraId="67D7D59B"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70300FE6"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Escroquerie</w:t>
            </w:r>
          </w:p>
        </w:tc>
        <w:tc>
          <w:tcPr>
            <w:tcW w:w="1508" w:type="pct"/>
            <w:tcBorders>
              <w:top w:val="single" w:sz="4" w:space="0" w:color="auto"/>
              <w:left w:val="single" w:sz="8" w:space="0" w:color="auto"/>
              <w:bottom w:val="single" w:sz="4" w:space="0" w:color="auto"/>
              <w:right w:val="single" w:sz="8" w:space="0" w:color="auto"/>
            </w:tcBorders>
          </w:tcPr>
          <w:p w14:paraId="7EDED04E"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113</w:t>
            </w:r>
          </w:p>
        </w:tc>
        <w:tc>
          <w:tcPr>
            <w:tcW w:w="1131" w:type="pct"/>
            <w:tcBorders>
              <w:top w:val="single" w:sz="4" w:space="0" w:color="auto"/>
              <w:left w:val="single" w:sz="8" w:space="0" w:color="auto"/>
              <w:bottom w:val="single" w:sz="4" w:space="0" w:color="auto"/>
              <w:right w:val="single" w:sz="8" w:space="0" w:color="auto"/>
            </w:tcBorders>
          </w:tcPr>
          <w:p w14:paraId="44EA33F3"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170</w:t>
            </w:r>
          </w:p>
        </w:tc>
      </w:tr>
      <w:tr w:rsidR="00B709C5" w:rsidRPr="004A6E37" w14:paraId="1CEFFBDA"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5E2A7D77"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Faux et usage de faux</w:t>
            </w:r>
          </w:p>
        </w:tc>
        <w:tc>
          <w:tcPr>
            <w:tcW w:w="1508" w:type="pct"/>
            <w:tcBorders>
              <w:top w:val="single" w:sz="4" w:space="0" w:color="auto"/>
              <w:left w:val="single" w:sz="8" w:space="0" w:color="auto"/>
              <w:bottom w:val="single" w:sz="4" w:space="0" w:color="auto"/>
              <w:right w:val="single" w:sz="8" w:space="0" w:color="auto"/>
            </w:tcBorders>
          </w:tcPr>
          <w:p w14:paraId="1F1C1620"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106</w:t>
            </w:r>
          </w:p>
        </w:tc>
        <w:tc>
          <w:tcPr>
            <w:tcW w:w="1131" w:type="pct"/>
            <w:tcBorders>
              <w:top w:val="single" w:sz="4" w:space="0" w:color="auto"/>
              <w:left w:val="single" w:sz="8" w:space="0" w:color="auto"/>
              <w:bottom w:val="single" w:sz="4" w:space="0" w:color="auto"/>
              <w:right w:val="single" w:sz="8" w:space="0" w:color="auto"/>
            </w:tcBorders>
          </w:tcPr>
          <w:p w14:paraId="13897F94"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163</w:t>
            </w:r>
          </w:p>
        </w:tc>
      </w:tr>
      <w:tr w:rsidR="00B709C5" w:rsidRPr="004A6E37" w14:paraId="625E7DFC"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3D9D9EAE"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 xml:space="preserve">Trafic d'armes </w:t>
            </w:r>
          </w:p>
        </w:tc>
        <w:tc>
          <w:tcPr>
            <w:tcW w:w="1508" w:type="pct"/>
            <w:tcBorders>
              <w:top w:val="single" w:sz="4" w:space="0" w:color="auto"/>
              <w:left w:val="single" w:sz="8" w:space="0" w:color="auto"/>
              <w:bottom w:val="single" w:sz="4" w:space="0" w:color="auto"/>
              <w:right w:val="single" w:sz="8" w:space="0" w:color="auto"/>
            </w:tcBorders>
          </w:tcPr>
          <w:p w14:paraId="62DD53CC"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6</w:t>
            </w:r>
          </w:p>
        </w:tc>
        <w:tc>
          <w:tcPr>
            <w:tcW w:w="1131" w:type="pct"/>
            <w:tcBorders>
              <w:top w:val="single" w:sz="4" w:space="0" w:color="auto"/>
              <w:left w:val="single" w:sz="8" w:space="0" w:color="auto"/>
              <w:bottom w:val="single" w:sz="4" w:space="0" w:color="auto"/>
              <w:right w:val="single" w:sz="8" w:space="0" w:color="auto"/>
            </w:tcBorders>
          </w:tcPr>
          <w:p w14:paraId="5FE4AA1A"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21</w:t>
            </w:r>
          </w:p>
        </w:tc>
      </w:tr>
      <w:tr w:rsidR="00B709C5" w:rsidRPr="004A6E37" w14:paraId="777B360E"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5E1424E1"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Faux monnayage</w:t>
            </w:r>
          </w:p>
        </w:tc>
        <w:tc>
          <w:tcPr>
            <w:tcW w:w="1508" w:type="pct"/>
            <w:tcBorders>
              <w:top w:val="single" w:sz="4" w:space="0" w:color="auto"/>
              <w:left w:val="single" w:sz="8" w:space="0" w:color="auto"/>
              <w:bottom w:val="single" w:sz="4" w:space="0" w:color="auto"/>
              <w:right w:val="single" w:sz="8" w:space="0" w:color="auto"/>
            </w:tcBorders>
          </w:tcPr>
          <w:p w14:paraId="45D7C100"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2</w:t>
            </w:r>
          </w:p>
        </w:tc>
        <w:tc>
          <w:tcPr>
            <w:tcW w:w="1131" w:type="pct"/>
            <w:tcBorders>
              <w:top w:val="single" w:sz="4" w:space="0" w:color="auto"/>
              <w:left w:val="single" w:sz="8" w:space="0" w:color="auto"/>
              <w:bottom w:val="single" w:sz="4" w:space="0" w:color="auto"/>
              <w:right w:val="single" w:sz="8" w:space="0" w:color="auto"/>
            </w:tcBorders>
          </w:tcPr>
          <w:p w14:paraId="0114011C"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5</w:t>
            </w:r>
          </w:p>
        </w:tc>
      </w:tr>
      <w:tr w:rsidR="00B709C5" w:rsidRPr="004A6E37" w14:paraId="7854DF64"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hideMark/>
          </w:tcPr>
          <w:p w14:paraId="4CD5C1B4" w14:textId="77777777" w:rsidR="008852DD" w:rsidRPr="004A6E37" w:rsidRDefault="008852DD" w:rsidP="00B86CE4">
            <w:pPr>
              <w:spacing w:after="0" w:line="240" w:lineRule="auto"/>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lang w:eastAsia="fr-FR"/>
              </w:rPr>
              <w:t>Cybercriminalité</w:t>
            </w:r>
          </w:p>
        </w:tc>
        <w:tc>
          <w:tcPr>
            <w:tcW w:w="1508" w:type="pct"/>
            <w:tcBorders>
              <w:top w:val="single" w:sz="4" w:space="0" w:color="auto"/>
              <w:left w:val="single" w:sz="8" w:space="0" w:color="auto"/>
              <w:bottom w:val="single" w:sz="4" w:space="0" w:color="auto"/>
              <w:right w:val="single" w:sz="8" w:space="0" w:color="auto"/>
            </w:tcBorders>
          </w:tcPr>
          <w:p w14:paraId="3F74FD1E"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12</w:t>
            </w:r>
          </w:p>
        </w:tc>
        <w:tc>
          <w:tcPr>
            <w:tcW w:w="1131" w:type="pct"/>
            <w:tcBorders>
              <w:top w:val="single" w:sz="4" w:space="0" w:color="auto"/>
              <w:left w:val="single" w:sz="8" w:space="0" w:color="auto"/>
              <w:bottom w:val="single" w:sz="4" w:space="0" w:color="auto"/>
              <w:right w:val="single" w:sz="8" w:space="0" w:color="auto"/>
            </w:tcBorders>
          </w:tcPr>
          <w:p w14:paraId="061F42DE" w14:textId="77777777" w:rsidR="008852DD" w:rsidRPr="004A6E37" w:rsidRDefault="008852DD" w:rsidP="00416CAD">
            <w:pPr>
              <w:spacing w:after="0" w:line="240" w:lineRule="auto"/>
              <w:jc w:val="center"/>
              <w:rPr>
                <w:rFonts w:ascii="Times New Roman" w:eastAsia="Times New Roman" w:hAnsi="Times New Roman" w:cs="Times New Roman"/>
                <w:b/>
                <w:bCs/>
                <w:i/>
                <w:iCs/>
                <w:lang w:eastAsia="fr-FR" w:bidi="en-US"/>
              </w:rPr>
            </w:pPr>
            <w:r w:rsidRPr="004A6E37">
              <w:rPr>
                <w:rFonts w:ascii="Times New Roman" w:eastAsia="Times New Roman" w:hAnsi="Times New Roman" w:cs="Times New Roman"/>
                <w:b/>
                <w:bCs/>
                <w:i/>
                <w:iCs/>
                <w:lang w:eastAsia="fr-FR" w:bidi="en-US"/>
              </w:rPr>
              <w:t>30</w:t>
            </w:r>
          </w:p>
        </w:tc>
      </w:tr>
      <w:tr w:rsidR="00B709C5" w:rsidRPr="004A6E37" w14:paraId="66096871" w14:textId="77777777" w:rsidTr="007A7E4F">
        <w:trPr>
          <w:trHeight w:val="170"/>
          <w:jc w:val="center"/>
        </w:trPr>
        <w:tc>
          <w:tcPr>
            <w:tcW w:w="2361" w:type="pct"/>
            <w:tcBorders>
              <w:top w:val="single" w:sz="4" w:space="0" w:color="auto"/>
              <w:left w:val="single" w:sz="4" w:space="0" w:color="auto"/>
              <w:bottom w:val="single" w:sz="4" w:space="0" w:color="auto"/>
              <w:right w:val="single" w:sz="8" w:space="0" w:color="auto"/>
            </w:tcBorders>
            <w:shd w:val="clear" w:color="auto" w:fill="DCE6F1"/>
            <w:hideMark/>
          </w:tcPr>
          <w:p w14:paraId="6B0AE7A0" w14:textId="77777777" w:rsidR="008852DD" w:rsidRPr="004A6E37" w:rsidRDefault="008852DD" w:rsidP="00B86CE4">
            <w:pPr>
              <w:spacing w:after="0" w:line="240" w:lineRule="auto"/>
              <w:rPr>
                <w:rFonts w:ascii="Times New Roman" w:eastAsia="Times New Roman" w:hAnsi="Times New Roman" w:cs="Times New Roman"/>
                <w:b/>
                <w:bCs/>
                <w:lang w:eastAsia="fr-FR"/>
              </w:rPr>
            </w:pPr>
            <w:r w:rsidRPr="004A6E37">
              <w:rPr>
                <w:rFonts w:ascii="Times New Roman" w:eastAsia="Times New Roman" w:hAnsi="Times New Roman" w:cs="Times New Roman"/>
                <w:b/>
                <w:bCs/>
                <w:lang w:eastAsia="fr-FR"/>
              </w:rPr>
              <w:t>TOTAUX</w:t>
            </w:r>
          </w:p>
        </w:tc>
        <w:tc>
          <w:tcPr>
            <w:tcW w:w="1508" w:type="pct"/>
            <w:tcBorders>
              <w:top w:val="single" w:sz="4" w:space="0" w:color="auto"/>
              <w:left w:val="single" w:sz="8" w:space="0" w:color="auto"/>
              <w:bottom w:val="single" w:sz="4" w:space="0" w:color="auto"/>
              <w:right w:val="single" w:sz="8" w:space="0" w:color="auto"/>
            </w:tcBorders>
            <w:shd w:val="clear" w:color="auto" w:fill="DCE6F1"/>
          </w:tcPr>
          <w:p w14:paraId="1C64DF56" w14:textId="77777777" w:rsidR="008852DD" w:rsidRPr="004A6E37" w:rsidRDefault="00416CAD" w:rsidP="00416CAD">
            <w:pPr>
              <w:spacing w:after="0" w:line="240" w:lineRule="auto"/>
              <w:jc w:val="center"/>
              <w:rPr>
                <w:rFonts w:ascii="Times New Roman" w:eastAsia="Times New Roman" w:hAnsi="Times New Roman" w:cs="Times New Roman"/>
                <w:b/>
                <w:bCs/>
                <w:lang w:eastAsia="fr-FR"/>
              </w:rPr>
            </w:pPr>
            <w:r w:rsidRPr="004A6E37">
              <w:rPr>
                <w:rFonts w:ascii="Times New Roman" w:eastAsia="Times New Roman" w:hAnsi="Times New Roman" w:cs="Times New Roman"/>
                <w:b/>
                <w:bCs/>
                <w:lang w:eastAsia="fr-FR"/>
              </w:rPr>
              <w:t>308</w:t>
            </w:r>
          </w:p>
        </w:tc>
        <w:tc>
          <w:tcPr>
            <w:tcW w:w="1131" w:type="pct"/>
            <w:tcBorders>
              <w:top w:val="single" w:sz="4" w:space="0" w:color="auto"/>
              <w:left w:val="single" w:sz="8" w:space="0" w:color="auto"/>
              <w:bottom w:val="single" w:sz="4" w:space="0" w:color="auto"/>
              <w:right w:val="single" w:sz="8" w:space="0" w:color="auto"/>
            </w:tcBorders>
            <w:shd w:val="clear" w:color="auto" w:fill="DCE6F1"/>
          </w:tcPr>
          <w:p w14:paraId="64D8A39B" w14:textId="77777777" w:rsidR="008852DD" w:rsidRPr="004A6E37" w:rsidRDefault="00416CAD" w:rsidP="00416CAD">
            <w:pPr>
              <w:spacing w:after="0" w:line="240" w:lineRule="auto"/>
              <w:jc w:val="center"/>
              <w:rPr>
                <w:rFonts w:ascii="Times New Roman" w:eastAsia="Times New Roman" w:hAnsi="Times New Roman" w:cs="Times New Roman"/>
                <w:b/>
                <w:bCs/>
                <w:lang w:eastAsia="fr-FR"/>
              </w:rPr>
            </w:pPr>
            <w:r w:rsidRPr="004A6E37">
              <w:rPr>
                <w:rFonts w:ascii="Times New Roman" w:eastAsia="Times New Roman" w:hAnsi="Times New Roman" w:cs="Times New Roman"/>
                <w:b/>
                <w:bCs/>
                <w:lang w:eastAsia="fr-FR"/>
              </w:rPr>
              <w:t>519</w:t>
            </w:r>
          </w:p>
        </w:tc>
      </w:tr>
    </w:tbl>
    <w:p w14:paraId="11F8AFEA" w14:textId="77777777" w:rsidR="008852DD" w:rsidRPr="004A6E37" w:rsidRDefault="008852DD" w:rsidP="008852DD">
      <w:pPr>
        <w:rPr>
          <w:rFonts w:ascii="Times New Roman" w:hAnsi="Times New Roman" w:cs="Times New Roman"/>
          <w:b/>
          <w:sz w:val="24"/>
          <w:szCs w:val="24"/>
        </w:rPr>
      </w:pPr>
      <w:r w:rsidRPr="004A6E37">
        <w:rPr>
          <w:rFonts w:ascii="Times New Roman" w:hAnsi="Times New Roman" w:cs="Times New Roman"/>
          <w:b/>
          <w:sz w:val="24"/>
          <w:szCs w:val="24"/>
        </w:rPr>
        <w:t>Source: BIJ -SIJ</w:t>
      </w:r>
    </w:p>
    <w:p w14:paraId="0C8156F6" w14:textId="77777777" w:rsidR="001B5B40" w:rsidRPr="004A6E37" w:rsidRDefault="00673F6E" w:rsidP="00B146BF">
      <w:pPr>
        <w:spacing w:before="150" w:after="150" w:line="360" w:lineRule="auto"/>
        <w:ind w:right="-284"/>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lastRenderedPageBreak/>
        <w:t>Quant à la méthodologie d’évaluation des</w:t>
      </w:r>
      <w:r w:rsidR="001B5B40" w:rsidRPr="004A6E37">
        <w:rPr>
          <w:rFonts w:ascii="Times New Roman" w:eastAsia="Times New Roman" w:hAnsi="Times New Roman" w:cs="Times New Roman"/>
          <w:sz w:val="24"/>
          <w:szCs w:val="24"/>
        </w:rPr>
        <w:t xml:space="preserve"> vulnérabilités, elle est basée d’une part sur les variables d’entrée qui ont un impact direct sur la qualité de supervision et la conformité en matière de LBC/FT et, d’autre part, sur les variables inhérentes de la vulnérabilité qui ont un impact sur la profession elle-même.</w:t>
      </w:r>
    </w:p>
    <w:p w14:paraId="58F1E29F" w14:textId="77777777" w:rsidR="00673F6E" w:rsidRPr="004A6E37" w:rsidRDefault="00673F6E" w:rsidP="00B146BF">
      <w:pPr>
        <w:pStyle w:val="Paragraphedeliste"/>
        <w:spacing w:line="360" w:lineRule="auto"/>
        <w:ind w:left="0"/>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Les PMCJ se caractérisent par des vulnérabilités structurelles qui s’accentuent lorsque l’État manque de connaissances suivantes : </w:t>
      </w:r>
    </w:p>
    <w:p w14:paraId="528FE3FF" w14:textId="77777777" w:rsidR="00673F6E" w:rsidRPr="004A6E37" w:rsidRDefault="00DA7CC4" w:rsidP="00920BFE">
      <w:pPr>
        <w:pStyle w:val="Paragraphedeliste"/>
        <w:numPr>
          <w:ilvl w:val="0"/>
          <w:numId w:val="16"/>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t</w:t>
      </w:r>
      <w:r w:rsidR="00673F6E" w:rsidRPr="004A6E37">
        <w:rPr>
          <w:rFonts w:ascii="Times New Roman" w:eastAsia="Times New Roman" w:hAnsi="Times New Roman" w:cs="Times New Roman"/>
          <w:sz w:val="24"/>
          <w:szCs w:val="24"/>
        </w:rPr>
        <w:t>aille, portée et envergure ;</w:t>
      </w:r>
    </w:p>
    <w:p w14:paraId="752A9F9A" w14:textId="77777777" w:rsidR="00673F6E" w:rsidRPr="004A6E37" w:rsidRDefault="00DA7CC4" w:rsidP="00920BFE">
      <w:pPr>
        <w:pStyle w:val="Paragraphedeliste"/>
        <w:numPr>
          <w:ilvl w:val="0"/>
          <w:numId w:val="16"/>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c</w:t>
      </w:r>
      <w:r w:rsidR="00673F6E" w:rsidRPr="004A6E37">
        <w:rPr>
          <w:rFonts w:ascii="Times New Roman" w:eastAsia="Times New Roman" w:hAnsi="Times New Roman" w:cs="Times New Roman"/>
          <w:sz w:val="24"/>
          <w:szCs w:val="24"/>
        </w:rPr>
        <w:t>aractéristiques spécifiques des populations du secteur en général ;</w:t>
      </w:r>
    </w:p>
    <w:p w14:paraId="7F39BB58" w14:textId="77777777" w:rsidR="00673F6E" w:rsidRPr="004A6E37" w:rsidRDefault="00DA7CC4" w:rsidP="00920BFE">
      <w:pPr>
        <w:pStyle w:val="Paragraphedeliste"/>
        <w:numPr>
          <w:ilvl w:val="0"/>
          <w:numId w:val="16"/>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a</w:t>
      </w:r>
      <w:r w:rsidR="00673F6E" w:rsidRPr="004A6E37">
        <w:rPr>
          <w:rFonts w:ascii="Times New Roman" w:eastAsia="Times New Roman" w:hAnsi="Times New Roman" w:cs="Times New Roman"/>
          <w:sz w:val="24"/>
          <w:szCs w:val="24"/>
        </w:rPr>
        <w:t>bsence ou fragilité de la réglementation adoptée ;</w:t>
      </w:r>
    </w:p>
    <w:p w14:paraId="64D52E74" w14:textId="77777777" w:rsidR="00673F6E" w:rsidRPr="004A6E37" w:rsidRDefault="00DA7CC4" w:rsidP="00920BFE">
      <w:pPr>
        <w:pStyle w:val="Paragraphedeliste"/>
        <w:numPr>
          <w:ilvl w:val="0"/>
          <w:numId w:val="16"/>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v</w:t>
      </w:r>
      <w:r w:rsidR="00673F6E" w:rsidRPr="004A6E37">
        <w:rPr>
          <w:rFonts w:ascii="Times New Roman" w:eastAsia="Times New Roman" w:hAnsi="Times New Roman" w:cs="Times New Roman"/>
          <w:sz w:val="24"/>
          <w:szCs w:val="24"/>
        </w:rPr>
        <w:t xml:space="preserve">olume important de liquidité en circulation. </w:t>
      </w:r>
    </w:p>
    <w:p w14:paraId="61641259" w14:textId="77777777" w:rsidR="00673F6E" w:rsidRPr="004A6E37" w:rsidRDefault="00673F6E" w:rsidP="00B146BF">
      <w:pPr>
        <w:spacing w:before="120" w:after="0"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Le niveau des risques est déterminé par le croisement des menaces et des vulnérabilités. </w:t>
      </w:r>
    </w:p>
    <w:p w14:paraId="5720C3FC" w14:textId="77777777" w:rsidR="008905E2" w:rsidRPr="004A6E37" w:rsidRDefault="008905E2" w:rsidP="00B146BF">
      <w:pPr>
        <w:spacing w:before="120" w:after="0"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Dans le cadre de la présente étude, nous avons procédé à un regroupement des entités en fonction de leurs précités juridiques et de leurs activités. Les résultats sont consignés dans le tableau ci-dessous. </w:t>
      </w:r>
    </w:p>
    <w:p w14:paraId="1F0B8AB8" w14:textId="77777777" w:rsidR="008905E2" w:rsidRPr="004A6E37" w:rsidRDefault="007A628B" w:rsidP="005932B8">
      <w:pPr>
        <w:spacing w:before="120" w:after="0"/>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Tableau n</w:t>
      </w:r>
      <w:r w:rsidR="008905E2" w:rsidRPr="004A6E37">
        <w:rPr>
          <w:rFonts w:ascii="Times New Roman" w:eastAsia="Times New Roman" w:hAnsi="Times New Roman" w:cs="Times New Roman"/>
          <w:b/>
          <w:sz w:val="24"/>
          <w:szCs w:val="24"/>
        </w:rPr>
        <w:t>°3</w:t>
      </w:r>
    </w:p>
    <w:tbl>
      <w:tblPr>
        <w:tblStyle w:val="Grilledutableau"/>
        <w:tblW w:w="10314" w:type="dxa"/>
        <w:tblLook w:val="04A0" w:firstRow="1" w:lastRow="0" w:firstColumn="1" w:lastColumn="0" w:noHBand="0" w:noVBand="1"/>
      </w:tblPr>
      <w:tblGrid>
        <w:gridCol w:w="963"/>
        <w:gridCol w:w="3540"/>
        <w:gridCol w:w="5811"/>
      </w:tblGrid>
      <w:tr w:rsidR="008905E2" w:rsidRPr="004A6E37" w14:paraId="519CDC7B" w14:textId="77777777" w:rsidTr="007A628B">
        <w:trPr>
          <w:trHeight w:val="418"/>
        </w:trPr>
        <w:tc>
          <w:tcPr>
            <w:tcW w:w="963" w:type="dxa"/>
          </w:tcPr>
          <w:p w14:paraId="18D5651A" w14:textId="77777777" w:rsidR="008905E2" w:rsidRPr="004A6E37" w:rsidRDefault="008905E2" w:rsidP="00764F88">
            <w:pPr>
              <w:jc w:val="center"/>
              <w:rPr>
                <w:rFonts w:ascii="Times New Roman" w:hAnsi="Times New Roman" w:cs="Times New Roman"/>
                <w:b/>
              </w:rPr>
            </w:pPr>
            <w:r w:rsidRPr="004A6E37">
              <w:rPr>
                <w:rFonts w:ascii="Times New Roman" w:hAnsi="Times New Roman" w:cs="Times New Roman"/>
                <w:b/>
              </w:rPr>
              <w:t>Ordre</w:t>
            </w:r>
          </w:p>
        </w:tc>
        <w:tc>
          <w:tcPr>
            <w:tcW w:w="3540" w:type="dxa"/>
          </w:tcPr>
          <w:p w14:paraId="4D944905" w14:textId="77777777" w:rsidR="008905E2" w:rsidRPr="004A6E37" w:rsidRDefault="008905E2" w:rsidP="00764F88">
            <w:pPr>
              <w:jc w:val="center"/>
              <w:rPr>
                <w:rFonts w:ascii="Times New Roman" w:hAnsi="Times New Roman" w:cs="Times New Roman"/>
                <w:b/>
              </w:rPr>
            </w:pPr>
            <w:r w:rsidRPr="004A6E37">
              <w:rPr>
                <w:rFonts w:ascii="Times New Roman" w:hAnsi="Times New Roman" w:cs="Times New Roman"/>
                <w:b/>
              </w:rPr>
              <w:t>Groupe- Entités</w:t>
            </w:r>
          </w:p>
        </w:tc>
        <w:tc>
          <w:tcPr>
            <w:tcW w:w="5811" w:type="dxa"/>
          </w:tcPr>
          <w:p w14:paraId="4CC235F5" w14:textId="77777777" w:rsidR="008905E2" w:rsidRPr="004A6E37" w:rsidRDefault="008905E2" w:rsidP="00764F88">
            <w:pPr>
              <w:jc w:val="center"/>
              <w:rPr>
                <w:rFonts w:ascii="Times New Roman" w:hAnsi="Times New Roman" w:cs="Times New Roman"/>
                <w:b/>
              </w:rPr>
            </w:pPr>
            <w:r w:rsidRPr="004A6E37">
              <w:rPr>
                <w:rFonts w:ascii="Times New Roman" w:hAnsi="Times New Roman" w:cs="Times New Roman"/>
                <w:b/>
              </w:rPr>
              <w:t>Entités</w:t>
            </w:r>
          </w:p>
        </w:tc>
      </w:tr>
      <w:tr w:rsidR="008905E2" w:rsidRPr="004A6E37" w14:paraId="6E00FE70" w14:textId="77777777" w:rsidTr="00842E35">
        <w:trPr>
          <w:trHeight w:val="325"/>
        </w:trPr>
        <w:tc>
          <w:tcPr>
            <w:tcW w:w="963" w:type="dxa"/>
          </w:tcPr>
          <w:p w14:paraId="09C34AC8" w14:textId="77777777" w:rsidR="008905E2" w:rsidRPr="004A6E37" w:rsidRDefault="008905E2" w:rsidP="00764F88">
            <w:pPr>
              <w:jc w:val="center"/>
              <w:rPr>
                <w:rFonts w:ascii="Times New Roman" w:hAnsi="Times New Roman" w:cs="Times New Roman"/>
              </w:rPr>
            </w:pPr>
            <w:r w:rsidRPr="004A6E37">
              <w:rPr>
                <w:rFonts w:ascii="Times New Roman" w:hAnsi="Times New Roman" w:cs="Times New Roman"/>
              </w:rPr>
              <w:t>1</w:t>
            </w:r>
          </w:p>
        </w:tc>
        <w:tc>
          <w:tcPr>
            <w:tcW w:w="3540" w:type="dxa"/>
          </w:tcPr>
          <w:p w14:paraId="241883F2"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SA-assimilées</w:t>
            </w:r>
          </w:p>
        </w:tc>
        <w:tc>
          <w:tcPr>
            <w:tcW w:w="5811" w:type="dxa"/>
          </w:tcPr>
          <w:p w14:paraId="5B8A919C" w14:textId="77777777" w:rsidR="008905E2" w:rsidRPr="004A6E37" w:rsidRDefault="008905E2" w:rsidP="00E155BE">
            <w:pPr>
              <w:rPr>
                <w:rFonts w:ascii="Times New Roman" w:hAnsi="Times New Roman" w:cs="Times New Roman"/>
              </w:rPr>
            </w:pPr>
            <w:r w:rsidRPr="004A6E37">
              <w:rPr>
                <w:rFonts w:ascii="Times New Roman" w:hAnsi="Times New Roman" w:cs="Times New Roman"/>
              </w:rPr>
              <w:t>SA-SAU- SAS- SAS U-</w:t>
            </w:r>
            <w:r w:rsidR="00E155BE" w:rsidRPr="004A6E37">
              <w:rPr>
                <w:rFonts w:ascii="Times New Roman" w:hAnsi="Times New Roman" w:cs="Times New Roman"/>
              </w:rPr>
              <w:t xml:space="preserve"> SCS-</w:t>
            </w:r>
            <w:r w:rsidRPr="004A6E37">
              <w:rPr>
                <w:rFonts w:ascii="Times New Roman" w:hAnsi="Times New Roman" w:cs="Times New Roman"/>
              </w:rPr>
              <w:t xml:space="preserve"> Succursale</w:t>
            </w:r>
            <w:r w:rsidR="00E155BE" w:rsidRPr="004A6E37">
              <w:rPr>
                <w:rFonts w:ascii="Times New Roman" w:hAnsi="Times New Roman" w:cs="Times New Roman"/>
              </w:rPr>
              <w:t>s</w:t>
            </w:r>
            <w:r w:rsidRPr="004A6E37">
              <w:rPr>
                <w:rFonts w:ascii="Times New Roman" w:hAnsi="Times New Roman" w:cs="Times New Roman"/>
              </w:rPr>
              <w:t xml:space="preserve"> </w:t>
            </w:r>
            <w:r w:rsidR="007A628B" w:rsidRPr="004A6E37">
              <w:rPr>
                <w:rFonts w:ascii="Times New Roman" w:hAnsi="Times New Roman" w:cs="Times New Roman"/>
              </w:rPr>
              <w:t>(nationales et étrangères)</w:t>
            </w:r>
          </w:p>
        </w:tc>
      </w:tr>
      <w:tr w:rsidR="008905E2" w:rsidRPr="004A6E37" w14:paraId="325874B6" w14:textId="77777777" w:rsidTr="007A628B">
        <w:tc>
          <w:tcPr>
            <w:tcW w:w="963" w:type="dxa"/>
          </w:tcPr>
          <w:p w14:paraId="372DF6B0" w14:textId="77777777" w:rsidR="008905E2" w:rsidRPr="004A6E37" w:rsidRDefault="008905E2" w:rsidP="00764F88">
            <w:pPr>
              <w:jc w:val="center"/>
              <w:rPr>
                <w:rFonts w:ascii="Times New Roman" w:hAnsi="Times New Roman" w:cs="Times New Roman"/>
              </w:rPr>
            </w:pPr>
            <w:r w:rsidRPr="004A6E37">
              <w:rPr>
                <w:rFonts w:ascii="Times New Roman" w:hAnsi="Times New Roman" w:cs="Times New Roman"/>
              </w:rPr>
              <w:t>2</w:t>
            </w:r>
          </w:p>
        </w:tc>
        <w:tc>
          <w:tcPr>
            <w:tcW w:w="3540" w:type="dxa"/>
          </w:tcPr>
          <w:p w14:paraId="795D9C45"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 xml:space="preserve">SARL </w:t>
            </w:r>
            <w:r w:rsidR="0025458B" w:rsidRPr="004A6E37">
              <w:rPr>
                <w:rFonts w:ascii="Times New Roman" w:hAnsi="Times New Roman" w:cs="Times New Roman"/>
              </w:rPr>
              <w:t>–</w:t>
            </w:r>
            <w:r w:rsidRPr="004A6E37">
              <w:rPr>
                <w:rFonts w:ascii="Times New Roman" w:hAnsi="Times New Roman" w:cs="Times New Roman"/>
              </w:rPr>
              <w:t>assimilées</w:t>
            </w:r>
          </w:p>
        </w:tc>
        <w:tc>
          <w:tcPr>
            <w:tcW w:w="5811" w:type="dxa"/>
          </w:tcPr>
          <w:p w14:paraId="1740F735" w14:textId="77777777" w:rsidR="008905E2" w:rsidRPr="004A6E37" w:rsidRDefault="008905E2" w:rsidP="00E155BE">
            <w:pPr>
              <w:rPr>
                <w:rFonts w:ascii="Times New Roman" w:hAnsi="Times New Roman" w:cs="Times New Roman"/>
              </w:rPr>
            </w:pPr>
            <w:r w:rsidRPr="004A6E37">
              <w:rPr>
                <w:rFonts w:ascii="Times New Roman" w:hAnsi="Times New Roman" w:cs="Times New Roman"/>
              </w:rPr>
              <w:t>SARL- SARLU- Succursale</w:t>
            </w:r>
            <w:r w:rsidR="00E155BE" w:rsidRPr="004A6E37">
              <w:rPr>
                <w:rFonts w:ascii="Times New Roman" w:hAnsi="Times New Roman" w:cs="Times New Roman"/>
              </w:rPr>
              <w:t>s</w:t>
            </w:r>
            <w:r w:rsidR="007A628B" w:rsidRPr="004A6E37">
              <w:rPr>
                <w:rFonts w:ascii="Times New Roman" w:hAnsi="Times New Roman" w:cs="Times New Roman"/>
              </w:rPr>
              <w:t xml:space="preserve"> (nationales et étrangères)</w:t>
            </w:r>
            <w:r w:rsidRPr="004A6E37">
              <w:rPr>
                <w:rFonts w:ascii="Times New Roman" w:hAnsi="Times New Roman" w:cs="Times New Roman"/>
              </w:rPr>
              <w:t xml:space="preserve"> </w:t>
            </w:r>
          </w:p>
        </w:tc>
      </w:tr>
      <w:tr w:rsidR="008905E2" w:rsidRPr="004A6E37" w14:paraId="65CA42AF" w14:textId="77777777" w:rsidTr="007A628B">
        <w:tc>
          <w:tcPr>
            <w:tcW w:w="963" w:type="dxa"/>
          </w:tcPr>
          <w:p w14:paraId="06823666" w14:textId="77777777" w:rsidR="008905E2" w:rsidRPr="004A6E37" w:rsidRDefault="007A628B" w:rsidP="00764F88">
            <w:pPr>
              <w:jc w:val="center"/>
              <w:rPr>
                <w:rFonts w:ascii="Times New Roman" w:eastAsia="Times New Roman" w:hAnsi="Times New Roman" w:cs="Times New Roman"/>
                <w:b/>
                <w:bCs/>
                <w:i/>
                <w:iCs/>
                <w:lang w:eastAsia="fr-CA"/>
              </w:rPr>
            </w:pPr>
            <w:r w:rsidRPr="004A6E37">
              <w:rPr>
                <w:rFonts w:ascii="Times New Roman" w:eastAsia="Times New Roman" w:hAnsi="Times New Roman" w:cs="Times New Roman"/>
                <w:b/>
                <w:bCs/>
                <w:i/>
                <w:iCs/>
                <w:lang w:eastAsia="fr-CA"/>
              </w:rPr>
              <w:t>3</w:t>
            </w:r>
          </w:p>
        </w:tc>
        <w:tc>
          <w:tcPr>
            <w:tcW w:w="3540" w:type="dxa"/>
          </w:tcPr>
          <w:p w14:paraId="4C6D9715"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Sociétés Immobilières</w:t>
            </w:r>
          </w:p>
        </w:tc>
        <w:tc>
          <w:tcPr>
            <w:tcW w:w="5811" w:type="dxa"/>
          </w:tcPr>
          <w:p w14:paraId="2349EB07"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Sociétés Immobilières et Succursales</w:t>
            </w:r>
          </w:p>
        </w:tc>
      </w:tr>
      <w:tr w:rsidR="008905E2" w:rsidRPr="004A6E37" w14:paraId="3B03186C" w14:textId="77777777" w:rsidTr="007A628B">
        <w:tc>
          <w:tcPr>
            <w:tcW w:w="963" w:type="dxa"/>
          </w:tcPr>
          <w:p w14:paraId="1B6D16EF" w14:textId="77777777" w:rsidR="008905E2" w:rsidRPr="004A6E37" w:rsidRDefault="007A628B" w:rsidP="00764F88">
            <w:pPr>
              <w:jc w:val="center"/>
              <w:rPr>
                <w:rFonts w:ascii="Times New Roman" w:eastAsia="Times New Roman" w:hAnsi="Times New Roman" w:cs="Times New Roman"/>
                <w:b/>
                <w:bCs/>
                <w:i/>
                <w:iCs/>
                <w:lang w:eastAsia="fr-CA"/>
              </w:rPr>
            </w:pPr>
            <w:r w:rsidRPr="004A6E37">
              <w:rPr>
                <w:rFonts w:ascii="Times New Roman" w:eastAsia="Times New Roman" w:hAnsi="Times New Roman" w:cs="Times New Roman"/>
                <w:b/>
                <w:bCs/>
                <w:i/>
                <w:iCs/>
                <w:lang w:eastAsia="fr-CA"/>
              </w:rPr>
              <w:t>4</w:t>
            </w:r>
          </w:p>
        </w:tc>
        <w:tc>
          <w:tcPr>
            <w:tcW w:w="3540" w:type="dxa"/>
          </w:tcPr>
          <w:p w14:paraId="43157CC1"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Société civile professionnelle</w:t>
            </w:r>
          </w:p>
        </w:tc>
        <w:tc>
          <w:tcPr>
            <w:tcW w:w="5811" w:type="dxa"/>
          </w:tcPr>
          <w:p w14:paraId="2A5FDF37"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Professions libérales</w:t>
            </w:r>
          </w:p>
        </w:tc>
      </w:tr>
      <w:tr w:rsidR="008905E2" w:rsidRPr="004A6E37" w14:paraId="2CCCD1CD" w14:textId="77777777" w:rsidTr="007A628B">
        <w:trPr>
          <w:trHeight w:val="386"/>
        </w:trPr>
        <w:tc>
          <w:tcPr>
            <w:tcW w:w="963" w:type="dxa"/>
          </w:tcPr>
          <w:p w14:paraId="00CCC01A" w14:textId="77777777" w:rsidR="008905E2" w:rsidRPr="004A6E37" w:rsidRDefault="007A628B" w:rsidP="00764F88">
            <w:pPr>
              <w:jc w:val="center"/>
              <w:rPr>
                <w:rFonts w:ascii="Times New Roman" w:eastAsia="Times New Roman" w:hAnsi="Times New Roman" w:cs="Times New Roman"/>
                <w:b/>
                <w:bCs/>
                <w:i/>
                <w:iCs/>
                <w:lang w:eastAsia="fr-CA"/>
              </w:rPr>
            </w:pPr>
            <w:r w:rsidRPr="004A6E37">
              <w:rPr>
                <w:rFonts w:ascii="Times New Roman" w:eastAsia="Times New Roman" w:hAnsi="Times New Roman" w:cs="Times New Roman"/>
                <w:b/>
                <w:bCs/>
                <w:i/>
                <w:iCs/>
                <w:lang w:eastAsia="fr-CA"/>
              </w:rPr>
              <w:t>5</w:t>
            </w:r>
          </w:p>
        </w:tc>
        <w:tc>
          <w:tcPr>
            <w:tcW w:w="3540" w:type="dxa"/>
          </w:tcPr>
          <w:p w14:paraId="49F26941" w14:textId="77777777" w:rsidR="008905E2" w:rsidRPr="004A6E37" w:rsidRDefault="00E155BE" w:rsidP="00764F88">
            <w:pPr>
              <w:rPr>
                <w:rFonts w:ascii="Times New Roman" w:hAnsi="Times New Roman" w:cs="Times New Roman"/>
              </w:rPr>
            </w:pPr>
            <w:r w:rsidRPr="004A6E37">
              <w:rPr>
                <w:rFonts w:ascii="Times New Roman" w:hAnsi="Times New Roman" w:cs="Times New Roman"/>
              </w:rPr>
              <w:t>GIE</w:t>
            </w:r>
          </w:p>
        </w:tc>
        <w:tc>
          <w:tcPr>
            <w:tcW w:w="5811" w:type="dxa"/>
          </w:tcPr>
          <w:p w14:paraId="73BCCB36"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GIE</w:t>
            </w:r>
          </w:p>
        </w:tc>
      </w:tr>
      <w:tr w:rsidR="008905E2" w:rsidRPr="004A6E37" w14:paraId="5525D06B" w14:textId="77777777" w:rsidTr="007A628B">
        <w:tc>
          <w:tcPr>
            <w:tcW w:w="963" w:type="dxa"/>
          </w:tcPr>
          <w:p w14:paraId="489970A0" w14:textId="77777777" w:rsidR="008905E2" w:rsidRPr="004A6E37" w:rsidRDefault="00842E35" w:rsidP="00764F88">
            <w:pPr>
              <w:jc w:val="center"/>
              <w:rPr>
                <w:rFonts w:ascii="Times New Roman" w:eastAsia="Times New Roman" w:hAnsi="Times New Roman" w:cs="Times New Roman"/>
                <w:b/>
                <w:bCs/>
                <w:i/>
                <w:iCs/>
                <w:lang w:eastAsia="fr-CA"/>
              </w:rPr>
            </w:pPr>
            <w:r w:rsidRPr="004A6E37">
              <w:rPr>
                <w:rFonts w:ascii="Times New Roman" w:eastAsia="Times New Roman" w:hAnsi="Times New Roman" w:cs="Times New Roman"/>
                <w:b/>
                <w:bCs/>
                <w:i/>
                <w:iCs/>
                <w:lang w:eastAsia="fr-CA"/>
              </w:rPr>
              <w:t>6</w:t>
            </w:r>
          </w:p>
        </w:tc>
        <w:tc>
          <w:tcPr>
            <w:tcW w:w="3540" w:type="dxa"/>
          </w:tcPr>
          <w:p w14:paraId="41828B15"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Coopératives</w:t>
            </w:r>
          </w:p>
        </w:tc>
        <w:tc>
          <w:tcPr>
            <w:tcW w:w="5811" w:type="dxa"/>
          </w:tcPr>
          <w:p w14:paraId="481E801E"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Coopératives</w:t>
            </w:r>
          </w:p>
        </w:tc>
      </w:tr>
      <w:tr w:rsidR="008905E2" w:rsidRPr="004A6E37" w14:paraId="2CD0EA0B" w14:textId="77777777" w:rsidTr="007A628B">
        <w:tc>
          <w:tcPr>
            <w:tcW w:w="963" w:type="dxa"/>
          </w:tcPr>
          <w:p w14:paraId="26B98AB0" w14:textId="77777777" w:rsidR="008905E2" w:rsidRPr="004A6E37" w:rsidRDefault="00842E35" w:rsidP="00764F88">
            <w:pPr>
              <w:jc w:val="center"/>
              <w:rPr>
                <w:rFonts w:ascii="Times New Roman" w:eastAsia="Times New Roman" w:hAnsi="Times New Roman" w:cs="Times New Roman"/>
                <w:b/>
                <w:bCs/>
                <w:i/>
                <w:iCs/>
                <w:lang w:eastAsia="fr-CA"/>
              </w:rPr>
            </w:pPr>
            <w:r w:rsidRPr="004A6E37">
              <w:rPr>
                <w:rFonts w:ascii="Times New Roman" w:eastAsia="Times New Roman" w:hAnsi="Times New Roman" w:cs="Times New Roman"/>
                <w:b/>
                <w:bCs/>
                <w:i/>
                <w:iCs/>
                <w:lang w:eastAsia="fr-CA"/>
              </w:rPr>
              <w:t>7</w:t>
            </w:r>
          </w:p>
        </w:tc>
        <w:tc>
          <w:tcPr>
            <w:tcW w:w="3540" w:type="dxa"/>
          </w:tcPr>
          <w:p w14:paraId="370A5868"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Fondations-Associations</w:t>
            </w:r>
          </w:p>
        </w:tc>
        <w:tc>
          <w:tcPr>
            <w:tcW w:w="5811" w:type="dxa"/>
          </w:tcPr>
          <w:p w14:paraId="22EE58C9" w14:textId="77777777" w:rsidR="008905E2" w:rsidRPr="004A6E37" w:rsidRDefault="008905E2" w:rsidP="00764F88">
            <w:pPr>
              <w:rPr>
                <w:rFonts w:ascii="Times New Roman" w:hAnsi="Times New Roman" w:cs="Times New Roman"/>
              </w:rPr>
            </w:pPr>
            <w:r w:rsidRPr="004A6E37">
              <w:rPr>
                <w:rFonts w:ascii="Times New Roman" w:hAnsi="Times New Roman" w:cs="Times New Roman"/>
              </w:rPr>
              <w:t>Fondations-Associations</w:t>
            </w:r>
          </w:p>
        </w:tc>
      </w:tr>
    </w:tbl>
    <w:p w14:paraId="65AF655C" w14:textId="77777777" w:rsidR="0026034A" w:rsidRPr="004A6E37" w:rsidRDefault="0026034A">
      <w:pPr>
        <w:pStyle w:val="En-tte"/>
        <w:jc w:val="both"/>
        <w:rPr>
          <w:rFonts w:ascii="Times New Roman" w:eastAsia="Times New Roman" w:hAnsi="Times New Roman" w:cs="Times New Roman"/>
          <w:sz w:val="2"/>
          <w:szCs w:val="20"/>
        </w:rPr>
      </w:pPr>
    </w:p>
    <w:p w14:paraId="14D07190" w14:textId="77777777" w:rsidR="0026034A" w:rsidRPr="004A6E37" w:rsidRDefault="0026034A">
      <w:pPr>
        <w:pStyle w:val="En-tte"/>
        <w:jc w:val="both"/>
        <w:rPr>
          <w:rFonts w:ascii="Times New Roman" w:eastAsia="Times New Roman" w:hAnsi="Times New Roman" w:cs="Times New Roman"/>
          <w:sz w:val="16"/>
          <w:szCs w:val="20"/>
        </w:rPr>
      </w:pPr>
    </w:p>
    <w:p w14:paraId="1BA14D73" w14:textId="77777777" w:rsidR="002C0C87" w:rsidRPr="004A6E37" w:rsidRDefault="002C0C87" w:rsidP="00920BFE">
      <w:pPr>
        <w:pStyle w:val="En-tte"/>
        <w:numPr>
          <w:ilvl w:val="0"/>
          <w:numId w:val="25"/>
        </w:numPr>
        <w:jc w:val="both"/>
        <w:outlineLvl w:val="1"/>
        <w:rPr>
          <w:rFonts w:ascii="Times New Roman" w:eastAsia="Times New Roman" w:hAnsi="Times New Roman" w:cs="Times New Roman"/>
          <w:b/>
          <w:sz w:val="24"/>
          <w:szCs w:val="28"/>
        </w:rPr>
      </w:pPr>
      <w:bookmarkStart w:id="61" w:name="_Toc126251888"/>
      <w:r w:rsidRPr="004A6E37">
        <w:rPr>
          <w:rFonts w:ascii="Times New Roman" w:eastAsia="Times New Roman" w:hAnsi="Times New Roman" w:cs="Times New Roman"/>
          <w:b/>
          <w:sz w:val="24"/>
          <w:szCs w:val="28"/>
        </w:rPr>
        <w:t>EVALUATION DES RISQUES :</w:t>
      </w:r>
      <w:bookmarkEnd w:id="61"/>
    </w:p>
    <w:p w14:paraId="1624E7BB" w14:textId="77777777" w:rsidR="00FF4F26" w:rsidRPr="004A6E37" w:rsidRDefault="00FF4F26" w:rsidP="00FF4F26">
      <w:pPr>
        <w:pStyle w:val="En-tte"/>
        <w:ind w:left="360"/>
        <w:jc w:val="both"/>
        <w:rPr>
          <w:rFonts w:ascii="Times New Roman" w:eastAsia="Times New Roman" w:hAnsi="Times New Roman" w:cs="Times New Roman"/>
          <w:b/>
          <w:sz w:val="10"/>
          <w:szCs w:val="28"/>
        </w:rPr>
      </w:pPr>
    </w:p>
    <w:p w14:paraId="20DAB831" w14:textId="77777777" w:rsidR="004C5494" w:rsidRPr="004A6E37" w:rsidRDefault="00FF4F26" w:rsidP="0026034A">
      <w:p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Suite à l’analyse des questionnaires et des entrevues, il ressort du régime juridique malien que</w:t>
      </w:r>
      <w:r w:rsidR="004C5494" w:rsidRPr="004A6E37">
        <w:rPr>
          <w:rFonts w:ascii="Times New Roman" w:eastAsia="Times New Roman" w:hAnsi="Times New Roman" w:cs="Times New Roman"/>
          <w:sz w:val="24"/>
          <w:szCs w:val="24"/>
        </w:rPr>
        <w:t xml:space="preserve"> le risque de co</w:t>
      </w:r>
      <w:r w:rsidR="00986914" w:rsidRPr="004A6E37">
        <w:rPr>
          <w:rFonts w:ascii="Times New Roman" w:eastAsia="Times New Roman" w:hAnsi="Times New Roman" w:cs="Times New Roman"/>
          <w:sz w:val="24"/>
          <w:szCs w:val="24"/>
        </w:rPr>
        <w:t>mmission d’infractions de BC/FT</w:t>
      </w:r>
      <w:r w:rsidR="004C5494" w:rsidRPr="004A6E37">
        <w:rPr>
          <w:rFonts w:ascii="Times New Roman" w:eastAsia="Times New Roman" w:hAnsi="Times New Roman" w:cs="Times New Roman"/>
          <w:sz w:val="24"/>
          <w:szCs w:val="24"/>
        </w:rPr>
        <w:t xml:space="preserve"> associé aux personnes morales, se situe </w:t>
      </w:r>
      <w:r w:rsidR="009114B3" w:rsidRPr="004A6E37">
        <w:rPr>
          <w:rFonts w:ascii="Times New Roman" w:eastAsia="Times New Roman" w:hAnsi="Times New Roman" w:cs="Times New Roman"/>
          <w:sz w:val="24"/>
          <w:szCs w:val="24"/>
        </w:rPr>
        <w:t>notamment aux</w:t>
      </w:r>
      <w:r w:rsidR="004C5494" w:rsidRPr="004A6E37">
        <w:rPr>
          <w:rFonts w:ascii="Times New Roman" w:eastAsia="Times New Roman" w:hAnsi="Times New Roman" w:cs="Times New Roman"/>
          <w:sz w:val="24"/>
          <w:szCs w:val="24"/>
        </w:rPr>
        <w:t xml:space="preserve"> niveau</w:t>
      </w:r>
      <w:r w:rsidR="00D17314" w:rsidRPr="004A6E37">
        <w:rPr>
          <w:rFonts w:ascii="Times New Roman" w:eastAsia="Times New Roman" w:hAnsi="Times New Roman" w:cs="Times New Roman"/>
          <w:sz w:val="24"/>
          <w:szCs w:val="24"/>
        </w:rPr>
        <w:t>x</w:t>
      </w:r>
      <w:r w:rsidR="004C5494" w:rsidRPr="004A6E37">
        <w:rPr>
          <w:rFonts w:ascii="Times New Roman" w:eastAsia="Times New Roman" w:hAnsi="Times New Roman" w:cs="Times New Roman"/>
          <w:sz w:val="24"/>
          <w:szCs w:val="24"/>
        </w:rPr>
        <w:t> </w:t>
      </w:r>
      <w:r w:rsidR="009114B3" w:rsidRPr="004A6E37">
        <w:rPr>
          <w:rFonts w:ascii="Times New Roman" w:eastAsia="Times New Roman" w:hAnsi="Times New Roman" w:cs="Times New Roman"/>
          <w:sz w:val="24"/>
          <w:szCs w:val="24"/>
        </w:rPr>
        <w:t xml:space="preserve">de </w:t>
      </w:r>
      <w:r w:rsidR="004C5494" w:rsidRPr="004A6E37">
        <w:rPr>
          <w:rFonts w:ascii="Times New Roman" w:eastAsia="Times New Roman" w:hAnsi="Times New Roman" w:cs="Times New Roman"/>
          <w:sz w:val="24"/>
          <w:szCs w:val="24"/>
        </w:rPr>
        <w:t>:</w:t>
      </w:r>
    </w:p>
    <w:p w14:paraId="01D8FFAE" w14:textId="77777777" w:rsidR="004C5494" w:rsidRPr="004A6E37" w:rsidRDefault="00CA1FF5" w:rsidP="00920BFE">
      <w:pPr>
        <w:numPr>
          <w:ilvl w:val="0"/>
          <w:numId w:val="23"/>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4C5494" w:rsidRPr="004A6E37">
        <w:rPr>
          <w:rFonts w:ascii="Times New Roman" w:eastAsia="Times New Roman" w:hAnsi="Times New Roman" w:cs="Times New Roman"/>
          <w:sz w:val="24"/>
          <w:szCs w:val="24"/>
        </w:rPr>
        <w:t>a con</w:t>
      </w:r>
      <w:r w:rsidR="00D17314" w:rsidRPr="004A6E37">
        <w:rPr>
          <w:rFonts w:ascii="Times New Roman" w:eastAsia="Times New Roman" w:hAnsi="Times New Roman" w:cs="Times New Roman"/>
          <w:sz w:val="24"/>
          <w:szCs w:val="24"/>
        </w:rPr>
        <w:t>stitution des personnes morales ;</w:t>
      </w:r>
      <w:r w:rsidR="004C5494" w:rsidRPr="004A6E37">
        <w:rPr>
          <w:rFonts w:ascii="Times New Roman" w:eastAsia="Times New Roman" w:hAnsi="Times New Roman" w:cs="Times New Roman"/>
          <w:sz w:val="24"/>
          <w:szCs w:val="24"/>
        </w:rPr>
        <w:t xml:space="preserve"> </w:t>
      </w:r>
    </w:p>
    <w:p w14:paraId="7CD55B72" w14:textId="77777777" w:rsidR="004C5494" w:rsidRPr="004A6E37" w:rsidRDefault="00CA1FF5" w:rsidP="00920BFE">
      <w:pPr>
        <w:numPr>
          <w:ilvl w:val="0"/>
          <w:numId w:val="23"/>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4C5494" w:rsidRPr="004A6E37">
        <w:rPr>
          <w:rFonts w:ascii="Times New Roman" w:eastAsia="Times New Roman" w:hAnsi="Times New Roman" w:cs="Times New Roman"/>
          <w:sz w:val="24"/>
          <w:szCs w:val="24"/>
        </w:rPr>
        <w:t>es variations de capitaux (modification  de capital social etc.)</w:t>
      </w:r>
      <w:r w:rsidR="009114B3" w:rsidRPr="004A6E37">
        <w:rPr>
          <w:rFonts w:ascii="Times New Roman" w:eastAsia="Times New Roman" w:hAnsi="Times New Roman" w:cs="Times New Roman"/>
          <w:sz w:val="24"/>
          <w:szCs w:val="24"/>
        </w:rPr>
        <w:t> ;</w:t>
      </w:r>
    </w:p>
    <w:p w14:paraId="20222F30" w14:textId="77777777" w:rsidR="004C5494" w:rsidRPr="004A6E37" w:rsidRDefault="00CA1FF5" w:rsidP="00920BFE">
      <w:pPr>
        <w:numPr>
          <w:ilvl w:val="0"/>
          <w:numId w:val="23"/>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4C5494" w:rsidRPr="004A6E37">
        <w:rPr>
          <w:rFonts w:ascii="Times New Roman" w:eastAsia="Times New Roman" w:hAnsi="Times New Roman" w:cs="Times New Roman"/>
          <w:sz w:val="24"/>
          <w:szCs w:val="24"/>
        </w:rPr>
        <w:t>es transactions et financement</w:t>
      </w:r>
      <w:r w:rsidR="009114B3" w:rsidRPr="004A6E37">
        <w:rPr>
          <w:rFonts w:ascii="Times New Roman" w:eastAsia="Times New Roman" w:hAnsi="Times New Roman" w:cs="Times New Roman"/>
          <w:sz w:val="24"/>
          <w:szCs w:val="24"/>
        </w:rPr>
        <w:t>s</w:t>
      </w:r>
      <w:r w:rsidR="004C5494" w:rsidRPr="004A6E37">
        <w:rPr>
          <w:rFonts w:ascii="Times New Roman" w:eastAsia="Times New Roman" w:hAnsi="Times New Roman" w:cs="Times New Roman"/>
          <w:sz w:val="24"/>
          <w:szCs w:val="24"/>
        </w:rPr>
        <w:t xml:space="preserve"> des activités se rapportant aux personnes morales</w:t>
      </w:r>
      <w:r w:rsidR="00D17314" w:rsidRPr="004A6E37">
        <w:rPr>
          <w:rFonts w:ascii="Times New Roman" w:eastAsia="Times New Roman" w:hAnsi="Times New Roman" w:cs="Times New Roman"/>
          <w:sz w:val="24"/>
          <w:szCs w:val="24"/>
        </w:rPr>
        <w:t>.</w:t>
      </w:r>
    </w:p>
    <w:p w14:paraId="5A78F7E9" w14:textId="77777777" w:rsidR="0055345B" w:rsidRPr="004A6E37" w:rsidRDefault="009A7DF1" w:rsidP="00920BFE">
      <w:pPr>
        <w:pStyle w:val="Paragraphedeliste"/>
        <w:numPr>
          <w:ilvl w:val="0"/>
          <w:numId w:val="22"/>
        </w:numPr>
        <w:shd w:val="clear" w:color="auto" w:fill="FFFFFF"/>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lastRenderedPageBreak/>
        <w:t>L</w:t>
      </w:r>
      <w:r w:rsidR="0055345B" w:rsidRPr="004A6E37">
        <w:rPr>
          <w:rFonts w:ascii="Times New Roman" w:eastAsia="Times New Roman" w:hAnsi="Times New Roman" w:cs="Times New Roman"/>
          <w:b/>
          <w:sz w:val="24"/>
          <w:szCs w:val="24"/>
        </w:rPr>
        <w:t xml:space="preserve">a constitution des personnes morales </w:t>
      </w:r>
    </w:p>
    <w:p w14:paraId="6DCB9DAD" w14:textId="77777777" w:rsidR="004C5494" w:rsidRPr="004A6E37" w:rsidRDefault="00BF3059" w:rsidP="0026034A">
      <w:p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La commission d'i</w:t>
      </w:r>
      <w:r w:rsidR="00986914" w:rsidRPr="004A6E37">
        <w:rPr>
          <w:rFonts w:ascii="Times New Roman" w:eastAsia="Times New Roman" w:hAnsi="Times New Roman" w:cs="Times New Roman"/>
          <w:sz w:val="24"/>
          <w:szCs w:val="24"/>
        </w:rPr>
        <w:t>nfraction de BC/FT au moment de</w:t>
      </w:r>
      <w:r w:rsidR="004C5494" w:rsidRPr="004A6E37">
        <w:rPr>
          <w:rFonts w:ascii="Times New Roman" w:eastAsia="Times New Roman" w:hAnsi="Times New Roman" w:cs="Times New Roman"/>
          <w:sz w:val="24"/>
          <w:szCs w:val="24"/>
        </w:rPr>
        <w:t xml:space="preserve"> la constitution des sociétés commerciale</w:t>
      </w:r>
      <w:r w:rsidR="00CA1FF5" w:rsidRPr="004A6E37">
        <w:rPr>
          <w:rFonts w:ascii="Times New Roman" w:eastAsia="Times New Roman" w:hAnsi="Times New Roman" w:cs="Times New Roman"/>
          <w:sz w:val="24"/>
          <w:szCs w:val="24"/>
        </w:rPr>
        <w:t>s</w:t>
      </w:r>
      <w:r w:rsidR="008079A7" w:rsidRPr="004A6E37">
        <w:rPr>
          <w:rFonts w:ascii="Times New Roman" w:eastAsia="Times New Roman" w:hAnsi="Times New Roman" w:cs="Times New Roman"/>
          <w:sz w:val="24"/>
          <w:szCs w:val="24"/>
        </w:rPr>
        <w:t xml:space="preserve"> peut se réaliser lors de</w:t>
      </w:r>
      <w:r w:rsidRPr="004A6E37">
        <w:rPr>
          <w:rFonts w:ascii="Times New Roman" w:eastAsia="Times New Roman" w:hAnsi="Times New Roman" w:cs="Times New Roman"/>
          <w:sz w:val="24"/>
          <w:szCs w:val="24"/>
        </w:rPr>
        <w:t xml:space="preserve"> : </w:t>
      </w:r>
    </w:p>
    <w:p w14:paraId="376CF59A" w14:textId="77777777" w:rsidR="004C5494" w:rsidRPr="004A6E37" w:rsidRDefault="008079A7" w:rsidP="00920BFE">
      <w:pPr>
        <w:numPr>
          <w:ilvl w:val="0"/>
          <w:numId w:val="24"/>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la </w:t>
      </w:r>
      <w:r w:rsidR="004C5494" w:rsidRPr="004A6E37">
        <w:rPr>
          <w:rFonts w:ascii="Times New Roman" w:eastAsia="Times New Roman" w:hAnsi="Times New Roman" w:cs="Times New Roman"/>
          <w:sz w:val="24"/>
          <w:szCs w:val="24"/>
        </w:rPr>
        <w:t xml:space="preserve">constitution des sociétés </w:t>
      </w:r>
      <w:r w:rsidR="00D17314" w:rsidRPr="004A6E37">
        <w:rPr>
          <w:rFonts w:ascii="Times New Roman" w:eastAsia="Times New Roman" w:hAnsi="Times New Roman" w:cs="Times New Roman"/>
          <w:sz w:val="24"/>
          <w:szCs w:val="24"/>
        </w:rPr>
        <w:t>en y apportant de l’argent sale ;</w:t>
      </w:r>
    </w:p>
    <w:p w14:paraId="6A16E33E" w14:textId="77777777" w:rsidR="004C5494" w:rsidRPr="004A6E37" w:rsidRDefault="008079A7" w:rsidP="00920BFE">
      <w:pPr>
        <w:numPr>
          <w:ilvl w:val="0"/>
          <w:numId w:val="24"/>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4C5494" w:rsidRPr="004A6E37">
        <w:rPr>
          <w:rFonts w:ascii="Times New Roman" w:eastAsia="Times New Roman" w:hAnsi="Times New Roman" w:cs="Times New Roman"/>
          <w:sz w:val="24"/>
          <w:szCs w:val="24"/>
        </w:rPr>
        <w:t>ouverture du capital par apport nouveau avec des primes d’émission ;</w:t>
      </w:r>
    </w:p>
    <w:p w14:paraId="0B18BA9C" w14:textId="77777777" w:rsidR="000655C7" w:rsidRPr="004A6E37" w:rsidRDefault="008079A7" w:rsidP="00920BFE">
      <w:pPr>
        <w:numPr>
          <w:ilvl w:val="0"/>
          <w:numId w:val="24"/>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le </w:t>
      </w:r>
      <w:r w:rsidR="00E45D38" w:rsidRPr="004A6E37">
        <w:rPr>
          <w:rFonts w:ascii="Times New Roman" w:eastAsia="Times New Roman" w:hAnsi="Times New Roman" w:cs="Times New Roman"/>
          <w:sz w:val="24"/>
          <w:szCs w:val="24"/>
        </w:rPr>
        <w:t>r</w:t>
      </w:r>
      <w:r w:rsidR="000655C7" w:rsidRPr="004A6E37">
        <w:rPr>
          <w:rFonts w:ascii="Times New Roman" w:eastAsia="Times New Roman" w:hAnsi="Times New Roman" w:cs="Times New Roman"/>
          <w:sz w:val="24"/>
          <w:szCs w:val="24"/>
        </w:rPr>
        <w:t>isque d’apport en capital d’argent provenant d’opérations sales ;</w:t>
      </w:r>
    </w:p>
    <w:p w14:paraId="4EBBBA87" w14:textId="77777777" w:rsidR="004C5494" w:rsidRPr="004A6E37" w:rsidRDefault="008079A7" w:rsidP="00920BFE">
      <w:pPr>
        <w:numPr>
          <w:ilvl w:val="0"/>
          <w:numId w:val="24"/>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la </w:t>
      </w:r>
      <w:r w:rsidR="004C5494" w:rsidRPr="004A6E37">
        <w:rPr>
          <w:rFonts w:ascii="Times New Roman" w:eastAsia="Times New Roman" w:hAnsi="Times New Roman" w:cs="Times New Roman"/>
          <w:sz w:val="24"/>
          <w:szCs w:val="24"/>
        </w:rPr>
        <w:t>cession des titres sociaux : parts</w:t>
      </w:r>
      <w:r w:rsidR="00D17314" w:rsidRPr="004A6E37">
        <w:rPr>
          <w:rFonts w:ascii="Times New Roman" w:eastAsia="Times New Roman" w:hAnsi="Times New Roman" w:cs="Times New Roman"/>
          <w:sz w:val="24"/>
          <w:szCs w:val="24"/>
        </w:rPr>
        <w:t xml:space="preserve"> sociales, actions, obligations ;</w:t>
      </w:r>
    </w:p>
    <w:p w14:paraId="12EFAE4E" w14:textId="77777777" w:rsidR="004C5494" w:rsidRPr="004A6E37" w:rsidRDefault="008079A7" w:rsidP="00920BFE">
      <w:pPr>
        <w:numPr>
          <w:ilvl w:val="0"/>
          <w:numId w:val="24"/>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la </w:t>
      </w:r>
      <w:r w:rsidR="004C5494" w:rsidRPr="004A6E37">
        <w:rPr>
          <w:rFonts w:ascii="Times New Roman" w:eastAsia="Times New Roman" w:hAnsi="Times New Roman" w:cs="Times New Roman"/>
          <w:sz w:val="24"/>
          <w:szCs w:val="24"/>
        </w:rPr>
        <w:t>rému</w:t>
      </w:r>
      <w:r w:rsidR="00D17314" w:rsidRPr="004A6E37">
        <w:rPr>
          <w:rFonts w:ascii="Times New Roman" w:eastAsia="Times New Roman" w:hAnsi="Times New Roman" w:cs="Times New Roman"/>
          <w:sz w:val="24"/>
          <w:szCs w:val="24"/>
        </w:rPr>
        <w:t>nération des dirigeants sociaux.</w:t>
      </w:r>
      <w:r w:rsidR="004C5494" w:rsidRPr="004A6E37">
        <w:rPr>
          <w:rFonts w:ascii="Times New Roman" w:eastAsia="Times New Roman" w:hAnsi="Times New Roman" w:cs="Times New Roman"/>
          <w:sz w:val="24"/>
          <w:szCs w:val="24"/>
        </w:rPr>
        <w:t xml:space="preserve"> </w:t>
      </w:r>
    </w:p>
    <w:p w14:paraId="0FFE90F9" w14:textId="77777777" w:rsidR="0055345B" w:rsidRPr="004A6E37" w:rsidRDefault="009A7DF1" w:rsidP="00920BFE">
      <w:pPr>
        <w:pStyle w:val="Paragraphedeliste"/>
        <w:numPr>
          <w:ilvl w:val="0"/>
          <w:numId w:val="22"/>
        </w:numPr>
        <w:shd w:val="clear" w:color="auto" w:fill="FFFFFF"/>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L</w:t>
      </w:r>
      <w:r w:rsidR="0055345B" w:rsidRPr="004A6E37">
        <w:rPr>
          <w:rFonts w:ascii="Times New Roman" w:eastAsia="Times New Roman" w:hAnsi="Times New Roman" w:cs="Times New Roman"/>
          <w:b/>
          <w:sz w:val="24"/>
          <w:szCs w:val="24"/>
        </w:rPr>
        <w:t>es variations de capitaux (modification  de capital social etc.)</w:t>
      </w:r>
    </w:p>
    <w:p w14:paraId="340C617F" w14:textId="77777777" w:rsidR="00E95FB2" w:rsidRPr="004A6E37" w:rsidRDefault="004C5494" w:rsidP="009A7DF1">
      <w:p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Le</w:t>
      </w:r>
      <w:r w:rsidR="00E95FB2" w:rsidRPr="004A6E37">
        <w:rPr>
          <w:rFonts w:ascii="Times New Roman" w:eastAsia="Times New Roman" w:hAnsi="Times New Roman" w:cs="Times New Roman"/>
          <w:sz w:val="24"/>
          <w:szCs w:val="24"/>
        </w:rPr>
        <w:t xml:space="preserve">s opérations de modification du capital social peuvent être utilisées pour commettre des </w:t>
      </w:r>
      <w:r w:rsidRPr="004A6E37">
        <w:rPr>
          <w:rFonts w:ascii="Times New Roman" w:eastAsia="Times New Roman" w:hAnsi="Times New Roman" w:cs="Times New Roman"/>
          <w:sz w:val="24"/>
          <w:szCs w:val="24"/>
        </w:rPr>
        <w:t>infraction</w:t>
      </w:r>
      <w:r w:rsidR="00E95FB2" w:rsidRPr="004A6E37">
        <w:rPr>
          <w:rFonts w:ascii="Times New Roman" w:eastAsia="Times New Roman" w:hAnsi="Times New Roman" w:cs="Times New Roman"/>
          <w:sz w:val="24"/>
          <w:szCs w:val="24"/>
        </w:rPr>
        <w:t>s</w:t>
      </w:r>
      <w:r w:rsidR="00A46772" w:rsidRPr="004A6E37">
        <w:rPr>
          <w:rFonts w:ascii="Times New Roman" w:eastAsia="Times New Roman" w:hAnsi="Times New Roman" w:cs="Times New Roman"/>
          <w:sz w:val="24"/>
          <w:szCs w:val="24"/>
        </w:rPr>
        <w:t xml:space="preserve"> de</w:t>
      </w:r>
      <w:r w:rsidR="00E95FB2" w:rsidRPr="004A6E37">
        <w:rPr>
          <w:rFonts w:ascii="Times New Roman" w:eastAsia="Times New Roman" w:hAnsi="Times New Roman" w:cs="Times New Roman"/>
          <w:sz w:val="24"/>
          <w:szCs w:val="24"/>
        </w:rPr>
        <w:t xml:space="preserve"> BC</w:t>
      </w:r>
      <w:r w:rsidR="00AE0A46" w:rsidRPr="004A6E37">
        <w:rPr>
          <w:rFonts w:ascii="Times New Roman" w:eastAsia="Times New Roman" w:hAnsi="Times New Roman" w:cs="Times New Roman"/>
          <w:sz w:val="24"/>
          <w:szCs w:val="24"/>
        </w:rPr>
        <w:t>/FT</w:t>
      </w:r>
      <w:r w:rsidR="00E95FB2" w:rsidRPr="004A6E37">
        <w:rPr>
          <w:rFonts w:ascii="Times New Roman" w:eastAsia="Times New Roman" w:hAnsi="Times New Roman" w:cs="Times New Roman"/>
          <w:sz w:val="24"/>
          <w:szCs w:val="24"/>
        </w:rPr>
        <w:t>.</w:t>
      </w:r>
      <w:r w:rsidRPr="004A6E37">
        <w:rPr>
          <w:rFonts w:ascii="Times New Roman" w:eastAsia="Times New Roman" w:hAnsi="Times New Roman" w:cs="Times New Roman"/>
          <w:sz w:val="24"/>
          <w:szCs w:val="24"/>
        </w:rPr>
        <w:t xml:space="preserve"> </w:t>
      </w:r>
    </w:p>
    <w:p w14:paraId="5A051216" w14:textId="77777777" w:rsidR="0055345B" w:rsidRPr="004A6E37" w:rsidRDefault="00E95FB2" w:rsidP="00920BFE">
      <w:pPr>
        <w:pStyle w:val="Paragraphedeliste"/>
        <w:numPr>
          <w:ilvl w:val="0"/>
          <w:numId w:val="22"/>
        </w:numPr>
        <w:spacing w:line="360" w:lineRule="auto"/>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L</w:t>
      </w:r>
      <w:r w:rsidR="0055345B" w:rsidRPr="004A6E37">
        <w:rPr>
          <w:rFonts w:ascii="Times New Roman" w:eastAsia="Times New Roman" w:hAnsi="Times New Roman" w:cs="Times New Roman"/>
          <w:b/>
          <w:sz w:val="24"/>
          <w:szCs w:val="24"/>
        </w:rPr>
        <w:t>es transactions et financement</w:t>
      </w:r>
      <w:r w:rsidR="00206415" w:rsidRPr="004A6E37">
        <w:rPr>
          <w:rFonts w:ascii="Times New Roman" w:eastAsia="Times New Roman" w:hAnsi="Times New Roman" w:cs="Times New Roman"/>
          <w:b/>
          <w:sz w:val="24"/>
          <w:szCs w:val="24"/>
        </w:rPr>
        <w:t>s</w:t>
      </w:r>
      <w:r w:rsidR="0055345B" w:rsidRPr="004A6E37">
        <w:rPr>
          <w:rFonts w:ascii="Times New Roman" w:eastAsia="Times New Roman" w:hAnsi="Times New Roman" w:cs="Times New Roman"/>
          <w:b/>
          <w:sz w:val="24"/>
          <w:szCs w:val="24"/>
        </w:rPr>
        <w:t xml:space="preserve"> des activités se rapportant aux personnes morales.</w:t>
      </w:r>
    </w:p>
    <w:p w14:paraId="0F93C4BD" w14:textId="77777777" w:rsidR="004C5494" w:rsidRPr="004A6E37" w:rsidRDefault="00591C03" w:rsidP="0026034A">
      <w:p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I</w:t>
      </w:r>
      <w:r w:rsidR="004C5494" w:rsidRPr="004A6E37">
        <w:rPr>
          <w:rFonts w:ascii="Times New Roman" w:eastAsia="Times New Roman" w:hAnsi="Times New Roman" w:cs="Times New Roman"/>
          <w:sz w:val="24"/>
          <w:szCs w:val="24"/>
        </w:rPr>
        <w:t>l s’agit d’actions réglementées </w:t>
      </w:r>
      <w:r w:rsidRPr="004A6E37">
        <w:rPr>
          <w:rFonts w:ascii="Times New Roman" w:eastAsia="Times New Roman" w:hAnsi="Times New Roman" w:cs="Times New Roman"/>
          <w:sz w:val="24"/>
          <w:szCs w:val="24"/>
        </w:rPr>
        <w:t xml:space="preserve">comme les </w:t>
      </w:r>
      <w:r w:rsidR="004C5494" w:rsidRPr="004A6E37">
        <w:rPr>
          <w:rFonts w:ascii="Times New Roman" w:eastAsia="Times New Roman" w:hAnsi="Times New Roman" w:cs="Times New Roman"/>
          <w:sz w:val="24"/>
          <w:szCs w:val="24"/>
        </w:rPr>
        <w:t>conventions réglementées non respectées telles</w:t>
      </w:r>
      <w:r w:rsidRPr="004A6E37">
        <w:rPr>
          <w:rFonts w:ascii="Times New Roman" w:eastAsia="Times New Roman" w:hAnsi="Times New Roman" w:cs="Times New Roman"/>
          <w:sz w:val="24"/>
          <w:szCs w:val="24"/>
        </w:rPr>
        <w:t xml:space="preserve"> que comptes courants associés ;</w:t>
      </w:r>
      <w:r w:rsidR="004C5494" w:rsidRPr="004A6E37">
        <w:rPr>
          <w:rFonts w:ascii="Times New Roman" w:eastAsia="Times New Roman" w:hAnsi="Times New Roman" w:cs="Times New Roman"/>
          <w:sz w:val="24"/>
          <w:szCs w:val="24"/>
        </w:rPr>
        <w:t xml:space="preserve"> ainsi un associé peut prêter à la société de</w:t>
      </w:r>
      <w:r w:rsidRPr="004A6E37">
        <w:rPr>
          <w:rFonts w:ascii="Times New Roman" w:eastAsia="Times New Roman" w:hAnsi="Times New Roman" w:cs="Times New Roman"/>
          <w:sz w:val="24"/>
          <w:szCs w:val="24"/>
        </w:rPr>
        <w:t>s</w:t>
      </w:r>
      <w:r w:rsidR="004C5494" w:rsidRPr="004A6E37">
        <w:rPr>
          <w:rFonts w:ascii="Times New Roman" w:eastAsia="Times New Roman" w:hAnsi="Times New Roman" w:cs="Times New Roman"/>
          <w:sz w:val="24"/>
          <w:szCs w:val="24"/>
        </w:rPr>
        <w:t xml:space="preserve"> fonds provenant d’opérations irrégulières, ou vis-versa ;</w:t>
      </w:r>
      <w:r w:rsidR="0075735B" w:rsidRPr="004A6E37">
        <w:rPr>
          <w:rFonts w:ascii="Times New Roman" w:eastAsia="Times New Roman" w:hAnsi="Times New Roman" w:cs="Times New Roman"/>
          <w:sz w:val="24"/>
          <w:szCs w:val="24"/>
        </w:rPr>
        <w:t xml:space="preserve"> ou</w:t>
      </w:r>
      <w:r w:rsidR="004C5494" w:rsidRPr="004A6E37">
        <w:rPr>
          <w:rFonts w:ascii="Times New Roman" w:eastAsia="Times New Roman" w:hAnsi="Times New Roman" w:cs="Times New Roman"/>
          <w:sz w:val="24"/>
          <w:szCs w:val="24"/>
        </w:rPr>
        <w:t xml:space="preserve"> fai</w:t>
      </w:r>
      <w:r w:rsidR="00EF50BD" w:rsidRPr="004A6E37">
        <w:rPr>
          <w:rFonts w:ascii="Times New Roman" w:eastAsia="Times New Roman" w:hAnsi="Times New Roman" w:cs="Times New Roman"/>
          <w:sz w:val="24"/>
          <w:szCs w:val="24"/>
        </w:rPr>
        <w:t>re des conventions interdites.</w:t>
      </w:r>
    </w:p>
    <w:p w14:paraId="32EF4BF8" w14:textId="77777777" w:rsidR="00EF50BD" w:rsidRPr="004A6E37" w:rsidRDefault="00EF50BD" w:rsidP="0026034A">
      <w:p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Au regard de ces faits, le bureau d’étude a procédé à l’évaluation des risques </w:t>
      </w:r>
      <w:r w:rsidR="00CD2622" w:rsidRPr="004A6E37">
        <w:rPr>
          <w:rFonts w:ascii="Times New Roman" w:eastAsia="Times New Roman" w:hAnsi="Times New Roman" w:cs="Times New Roman"/>
          <w:sz w:val="24"/>
          <w:szCs w:val="24"/>
        </w:rPr>
        <w:t xml:space="preserve">de </w:t>
      </w:r>
      <w:r w:rsidRPr="004A6E37">
        <w:rPr>
          <w:rFonts w:ascii="Times New Roman" w:eastAsia="Times New Roman" w:hAnsi="Times New Roman" w:cs="Times New Roman"/>
          <w:sz w:val="24"/>
          <w:szCs w:val="24"/>
        </w:rPr>
        <w:t xml:space="preserve">BC/FT auxquels les sociétés identifiées (tableau n°3) sont exposées.  </w:t>
      </w:r>
    </w:p>
    <w:p w14:paraId="2142439C" w14:textId="77777777" w:rsidR="002C0C87" w:rsidRPr="004A6E37" w:rsidRDefault="00234A42" w:rsidP="001F564C">
      <w:pPr>
        <w:pStyle w:val="En-tte"/>
        <w:spacing w:line="360" w:lineRule="auto"/>
        <w:jc w:val="both"/>
        <w:outlineLvl w:val="2"/>
        <w:rPr>
          <w:rFonts w:ascii="Times New Roman" w:eastAsia="Times New Roman" w:hAnsi="Times New Roman" w:cs="Times New Roman"/>
          <w:b/>
          <w:sz w:val="24"/>
          <w:szCs w:val="24"/>
        </w:rPr>
      </w:pPr>
      <w:bookmarkStart w:id="62" w:name="_Toc126251889"/>
      <w:r w:rsidRPr="004A6E37">
        <w:rPr>
          <w:rFonts w:ascii="Times New Roman" w:eastAsia="Times New Roman" w:hAnsi="Times New Roman" w:cs="Times New Roman"/>
          <w:b/>
          <w:sz w:val="24"/>
          <w:szCs w:val="24"/>
        </w:rPr>
        <w:t>2.1. SA-</w:t>
      </w:r>
      <w:r w:rsidR="002C0C87" w:rsidRPr="004A6E37">
        <w:rPr>
          <w:rFonts w:ascii="Times New Roman" w:eastAsia="Times New Roman" w:hAnsi="Times New Roman" w:cs="Times New Roman"/>
          <w:b/>
          <w:sz w:val="24"/>
          <w:szCs w:val="24"/>
        </w:rPr>
        <w:t>assimilées</w:t>
      </w:r>
      <w:bookmarkEnd w:id="62"/>
    </w:p>
    <w:p w14:paraId="06287B56" w14:textId="77777777" w:rsidR="00432FEC" w:rsidRPr="004A6E37" w:rsidRDefault="00432FEC" w:rsidP="0026034A">
      <w:pPr>
        <w:pStyle w:val="En-tte"/>
        <w:spacing w:line="360" w:lineRule="auto"/>
        <w:ind w:left="708"/>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2.1.1. Menaces</w:t>
      </w:r>
    </w:p>
    <w:p w14:paraId="5A10468A" w14:textId="77777777" w:rsidR="00824BB3" w:rsidRPr="004A6E37" w:rsidRDefault="00234A42" w:rsidP="0026034A">
      <w:pPr>
        <w:pStyle w:val="En-tte"/>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Toutes ces sociétés sont obligatoirement enregistrées sur le RCCM du greffe du tribunal de commerce. Le niveau de la menace est évalué 0</w:t>
      </w:r>
      <w:r w:rsidR="00770605" w:rsidRPr="004A6E37">
        <w:rPr>
          <w:rFonts w:ascii="Times New Roman" w:eastAsia="Times New Roman" w:hAnsi="Times New Roman" w:cs="Times New Roman"/>
          <w:sz w:val="24"/>
          <w:szCs w:val="24"/>
        </w:rPr>
        <w:t>,</w:t>
      </w:r>
      <w:r w:rsidRPr="004A6E37">
        <w:rPr>
          <w:rFonts w:ascii="Times New Roman" w:eastAsia="Times New Roman" w:hAnsi="Times New Roman" w:cs="Times New Roman"/>
          <w:sz w:val="24"/>
          <w:szCs w:val="24"/>
        </w:rPr>
        <w:t>5</w:t>
      </w:r>
      <w:r w:rsidR="007E2269" w:rsidRPr="004A6E37">
        <w:rPr>
          <w:rFonts w:ascii="Times New Roman" w:eastAsia="Times New Roman" w:hAnsi="Times New Roman" w:cs="Times New Roman"/>
          <w:sz w:val="24"/>
          <w:szCs w:val="24"/>
        </w:rPr>
        <w:t> </w:t>
      </w:r>
      <w:r w:rsidR="00541081" w:rsidRPr="004A6E37">
        <w:rPr>
          <w:rFonts w:ascii="Times New Roman" w:eastAsia="Times New Roman" w:hAnsi="Times New Roman" w:cs="Times New Roman"/>
          <w:sz w:val="24"/>
          <w:szCs w:val="24"/>
        </w:rPr>
        <w:t>« moyen »</w:t>
      </w:r>
      <w:r w:rsidR="007E2269" w:rsidRPr="004A6E37">
        <w:rPr>
          <w:rFonts w:ascii="Times New Roman" w:eastAsia="Times New Roman" w:hAnsi="Times New Roman" w:cs="Times New Roman"/>
          <w:sz w:val="24"/>
          <w:szCs w:val="24"/>
        </w:rPr>
        <w:t>;</w:t>
      </w:r>
      <w:r w:rsidRPr="004A6E37">
        <w:rPr>
          <w:rFonts w:ascii="Times New Roman" w:eastAsia="Times New Roman" w:hAnsi="Times New Roman" w:cs="Times New Roman"/>
          <w:sz w:val="24"/>
          <w:szCs w:val="24"/>
        </w:rPr>
        <w:t xml:space="preserve"> ce qui </w:t>
      </w:r>
      <w:r w:rsidR="004E4ADE" w:rsidRPr="004A6E37">
        <w:rPr>
          <w:rFonts w:ascii="Times New Roman" w:eastAsia="Times New Roman" w:hAnsi="Times New Roman" w:cs="Times New Roman"/>
          <w:sz w:val="24"/>
          <w:szCs w:val="24"/>
        </w:rPr>
        <w:t>dépend</w:t>
      </w:r>
      <w:r w:rsidRPr="004A6E37">
        <w:rPr>
          <w:rFonts w:ascii="Times New Roman" w:eastAsia="Times New Roman" w:hAnsi="Times New Roman" w:cs="Times New Roman"/>
          <w:sz w:val="24"/>
          <w:szCs w:val="24"/>
        </w:rPr>
        <w:t xml:space="preserve"> de :</w:t>
      </w:r>
    </w:p>
    <w:p w14:paraId="3D6F1418" w14:textId="77777777" w:rsidR="00234A42" w:rsidRPr="004A6E37" w:rsidRDefault="00234A42" w:rsidP="0026034A">
      <w:pPr>
        <w:pStyle w:val="En-tte"/>
        <w:spacing w:line="360" w:lineRule="auto"/>
        <w:jc w:val="both"/>
        <w:rPr>
          <w:rFonts w:ascii="Times New Roman" w:eastAsia="Times New Roman" w:hAnsi="Times New Roman" w:cs="Times New Roman"/>
          <w:sz w:val="6"/>
          <w:szCs w:val="24"/>
        </w:rPr>
      </w:pPr>
    </w:p>
    <w:p w14:paraId="6962AF23" w14:textId="77777777" w:rsidR="00234A42" w:rsidRPr="004A6E37" w:rsidRDefault="00234A42" w:rsidP="00920BFE">
      <w:pPr>
        <w:pStyle w:val="En-tte"/>
        <w:numPr>
          <w:ilvl w:val="0"/>
          <w:numId w:val="19"/>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Le niveau d</w:t>
      </w:r>
      <w:r w:rsidR="004E4ADE" w:rsidRPr="004A6E37">
        <w:rPr>
          <w:rFonts w:ascii="Times New Roman" w:eastAsia="Times New Roman" w:hAnsi="Times New Roman" w:cs="Times New Roman"/>
          <w:sz w:val="24"/>
          <w:szCs w:val="24"/>
        </w:rPr>
        <w:t>e menace lié aux données des autorités chargées d’appliquer la loi est évalué 0,5</w:t>
      </w:r>
      <w:r w:rsidR="00204E95" w:rsidRPr="004A6E37">
        <w:rPr>
          <w:rFonts w:ascii="Times New Roman" w:eastAsia="Times New Roman" w:hAnsi="Times New Roman" w:cs="Times New Roman"/>
          <w:sz w:val="24"/>
          <w:szCs w:val="24"/>
        </w:rPr>
        <w:t> :</w:t>
      </w:r>
    </w:p>
    <w:p w14:paraId="09E5CA6E" w14:textId="77777777" w:rsidR="004E4ADE" w:rsidRPr="004A6E37" w:rsidRDefault="00204E95"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85059C" w:rsidRPr="004A6E37">
        <w:rPr>
          <w:rFonts w:ascii="Times New Roman" w:eastAsia="Times New Roman" w:hAnsi="Times New Roman" w:cs="Times New Roman"/>
          <w:sz w:val="24"/>
          <w:szCs w:val="24"/>
        </w:rPr>
        <w:t>a CENTIF a reçu des DOS</w:t>
      </w:r>
      <w:r w:rsidRPr="004A6E37">
        <w:rPr>
          <w:rFonts w:ascii="Times New Roman" w:eastAsia="Times New Roman" w:hAnsi="Times New Roman" w:cs="Times New Roman"/>
          <w:sz w:val="24"/>
          <w:szCs w:val="24"/>
        </w:rPr>
        <w:t> ;</w:t>
      </w:r>
    </w:p>
    <w:p w14:paraId="4F9382FA" w14:textId="77777777" w:rsidR="0085059C" w:rsidRPr="004A6E37" w:rsidRDefault="00204E95"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w:t>
      </w:r>
      <w:r w:rsidR="0085059C" w:rsidRPr="004A6E37">
        <w:rPr>
          <w:rFonts w:ascii="Times New Roman" w:eastAsia="Times New Roman" w:hAnsi="Times New Roman" w:cs="Times New Roman"/>
          <w:sz w:val="24"/>
          <w:szCs w:val="24"/>
        </w:rPr>
        <w:t>as de demande d’entraide judiciaire demandée et reçue</w:t>
      </w:r>
      <w:r w:rsidRPr="004A6E37">
        <w:rPr>
          <w:rFonts w:ascii="Times New Roman" w:eastAsia="Times New Roman" w:hAnsi="Times New Roman" w:cs="Times New Roman"/>
          <w:sz w:val="24"/>
          <w:szCs w:val="24"/>
        </w:rPr>
        <w:t> ;</w:t>
      </w:r>
    </w:p>
    <w:p w14:paraId="69148051" w14:textId="77777777" w:rsidR="0085059C" w:rsidRPr="004A6E37" w:rsidRDefault="00204E95"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t</w:t>
      </w:r>
      <w:r w:rsidR="0085059C" w:rsidRPr="004A6E37">
        <w:rPr>
          <w:rFonts w:ascii="Times New Roman" w:eastAsia="Times New Roman" w:hAnsi="Times New Roman" w:cs="Times New Roman"/>
          <w:sz w:val="24"/>
          <w:szCs w:val="24"/>
        </w:rPr>
        <w:t>rois cas sont en cours d’instruction au pôle judiciaire spécialisé</w:t>
      </w:r>
      <w:r w:rsidRPr="004A6E37">
        <w:rPr>
          <w:rFonts w:ascii="Times New Roman" w:eastAsia="Times New Roman" w:hAnsi="Times New Roman" w:cs="Times New Roman"/>
          <w:sz w:val="24"/>
          <w:szCs w:val="24"/>
        </w:rPr>
        <w:t> ;</w:t>
      </w:r>
    </w:p>
    <w:p w14:paraId="528B98EA" w14:textId="77777777" w:rsidR="0085059C" w:rsidRPr="004A6E37" w:rsidRDefault="00204E95"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pas de cas de condamnation.</w:t>
      </w:r>
    </w:p>
    <w:p w14:paraId="50761BA7" w14:textId="77777777" w:rsidR="0051396B" w:rsidRPr="004A6E37" w:rsidRDefault="0051396B" w:rsidP="0026034A">
      <w:pPr>
        <w:pStyle w:val="En-tte"/>
        <w:spacing w:line="360" w:lineRule="auto"/>
        <w:ind w:left="2160"/>
        <w:jc w:val="both"/>
        <w:rPr>
          <w:rFonts w:ascii="Times New Roman" w:eastAsia="Times New Roman" w:hAnsi="Times New Roman" w:cs="Times New Roman"/>
          <w:sz w:val="8"/>
          <w:szCs w:val="24"/>
        </w:rPr>
      </w:pPr>
    </w:p>
    <w:p w14:paraId="5E0FBCEB" w14:textId="77777777" w:rsidR="0051396B" w:rsidRPr="004A6E37" w:rsidRDefault="0051396B" w:rsidP="00920BFE">
      <w:pPr>
        <w:pStyle w:val="En-tte"/>
        <w:numPr>
          <w:ilvl w:val="0"/>
          <w:numId w:val="19"/>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Le niveau de risque basé sur les perceptions des menaces et des données</w:t>
      </w:r>
      <w:r w:rsidR="00204E95" w:rsidRPr="004A6E37">
        <w:rPr>
          <w:rFonts w:ascii="Times New Roman" w:eastAsia="Times New Roman" w:hAnsi="Times New Roman" w:cs="Times New Roman"/>
          <w:sz w:val="24"/>
          <w:szCs w:val="24"/>
        </w:rPr>
        <w:t> :</w:t>
      </w:r>
    </w:p>
    <w:p w14:paraId="1CCF68C0" w14:textId="77777777" w:rsidR="006D3B48" w:rsidRPr="004A6E37" w:rsidRDefault="008768FC"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6D3B48" w:rsidRPr="004A6E37">
        <w:rPr>
          <w:rFonts w:ascii="Times New Roman" w:eastAsia="Times New Roman" w:hAnsi="Times New Roman" w:cs="Times New Roman"/>
          <w:sz w:val="24"/>
          <w:szCs w:val="24"/>
        </w:rPr>
        <w:t>e</w:t>
      </w:r>
      <w:r w:rsidR="00AF3CD4" w:rsidRPr="004A6E37">
        <w:rPr>
          <w:rFonts w:ascii="Times New Roman" w:eastAsia="Times New Roman" w:hAnsi="Times New Roman" w:cs="Times New Roman"/>
          <w:sz w:val="24"/>
          <w:szCs w:val="24"/>
        </w:rPr>
        <w:t>s</w:t>
      </w:r>
      <w:r w:rsidR="0051396B" w:rsidRPr="004A6E37">
        <w:rPr>
          <w:rFonts w:ascii="Times New Roman" w:eastAsia="Times New Roman" w:hAnsi="Times New Roman" w:cs="Times New Roman"/>
          <w:sz w:val="24"/>
          <w:szCs w:val="24"/>
        </w:rPr>
        <w:t xml:space="preserve"> ca</w:t>
      </w:r>
      <w:r w:rsidR="00AF3CD4" w:rsidRPr="004A6E37">
        <w:rPr>
          <w:rFonts w:ascii="Times New Roman" w:eastAsia="Times New Roman" w:hAnsi="Times New Roman" w:cs="Times New Roman"/>
          <w:sz w:val="24"/>
          <w:szCs w:val="24"/>
        </w:rPr>
        <w:t xml:space="preserve">s </w:t>
      </w:r>
      <w:r w:rsidR="006D3B48" w:rsidRPr="004A6E37">
        <w:rPr>
          <w:rFonts w:ascii="Times New Roman" w:eastAsia="Times New Roman" w:hAnsi="Times New Roman" w:cs="Times New Roman"/>
          <w:sz w:val="24"/>
          <w:szCs w:val="24"/>
        </w:rPr>
        <w:t>identifiés ne sont pas nombreux</w:t>
      </w:r>
      <w:r w:rsidR="00AF3CD4" w:rsidRPr="004A6E37">
        <w:rPr>
          <w:rFonts w:ascii="Times New Roman" w:eastAsia="Times New Roman" w:hAnsi="Times New Roman" w:cs="Times New Roman"/>
          <w:sz w:val="24"/>
          <w:szCs w:val="24"/>
        </w:rPr>
        <w:t> ;</w:t>
      </w:r>
      <w:r w:rsidR="006D3B48" w:rsidRPr="004A6E37">
        <w:rPr>
          <w:rFonts w:ascii="Times New Roman" w:eastAsia="Times New Roman" w:hAnsi="Times New Roman" w:cs="Times New Roman"/>
          <w:sz w:val="24"/>
          <w:szCs w:val="24"/>
        </w:rPr>
        <w:t xml:space="preserve"> </w:t>
      </w:r>
    </w:p>
    <w:p w14:paraId="5BF25E5F" w14:textId="77777777" w:rsidR="0051396B" w:rsidRPr="004A6E37" w:rsidRDefault="008768FC"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lastRenderedPageBreak/>
        <w:t>l</w:t>
      </w:r>
      <w:r w:rsidR="0051396B" w:rsidRPr="004A6E37">
        <w:rPr>
          <w:rFonts w:ascii="Times New Roman" w:eastAsia="Times New Roman" w:hAnsi="Times New Roman" w:cs="Times New Roman"/>
          <w:sz w:val="24"/>
          <w:szCs w:val="24"/>
        </w:rPr>
        <w:t>es sondages recueillis auprès des acteurs du secteur public donnent un niveau de menace moyen</w:t>
      </w:r>
      <w:r w:rsidR="00AF3CD4" w:rsidRPr="004A6E37">
        <w:rPr>
          <w:rFonts w:ascii="Times New Roman" w:eastAsia="Times New Roman" w:hAnsi="Times New Roman" w:cs="Times New Roman"/>
          <w:sz w:val="24"/>
          <w:szCs w:val="24"/>
        </w:rPr>
        <w:t> ;</w:t>
      </w:r>
    </w:p>
    <w:p w14:paraId="7C1B4D6E" w14:textId="77777777" w:rsidR="0051396B" w:rsidRPr="004A6E37" w:rsidRDefault="008768FC"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51396B" w:rsidRPr="004A6E37">
        <w:rPr>
          <w:rFonts w:ascii="Times New Roman" w:eastAsia="Times New Roman" w:hAnsi="Times New Roman" w:cs="Times New Roman"/>
          <w:sz w:val="24"/>
          <w:szCs w:val="24"/>
        </w:rPr>
        <w:t>es informations recueillies auprès des acteurs du secteur privé donnent un niveau de menace moyen</w:t>
      </w:r>
      <w:r w:rsidR="00AF3CD4" w:rsidRPr="004A6E37">
        <w:rPr>
          <w:rFonts w:ascii="Times New Roman" w:eastAsia="Times New Roman" w:hAnsi="Times New Roman" w:cs="Times New Roman"/>
          <w:sz w:val="24"/>
          <w:szCs w:val="24"/>
        </w:rPr>
        <w:t>.</w:t>
      </w:r>
      <w:r w:rsidR="0051396B" w:rsidRPr="004A6E37">
        <w:rPr>
          <w:rFonts w:ascii="Times New Roman" w:eastAsia="Times New Roman" w:hAnsi="Times New Roman" w:cs="Times New Roman"/>
          <w:sz w:val="24"/>
          <w:szCs w:val="24"/>
        </w:rPr>
        <w:t xml:space="preserve"> </w:t>
      </w:r>
    </w:p>
    <w:p w14:paraId="3E767CE2" w14:textId="77777777" w:rsidR="00C76BAA" w:rsidRPr="004A6E37" w:rsidRDefault="00C76BAA" w:rsidP="0026034A">
      <w:pPr>
        <w:pStyle w:val="En-tte"/>
        <w:spacing w:line="360" w:lineRule="auto"/>
        <w:jc w:val="both"/>
        <w:rPr>
          <w:rFonts w:ascii="Times New Roman" w:eastAsia="Times New Roman" w:hAnsi="Times New Roman" w:cs="Times New Roman"/>
          <w:b/>
          <w:sz w:val="10"/>
          <w:szCs w:val="24"/>
        </w:rPr>
      </w:pPr>
    </w:p>
    <w:p w14:paraId="62A1B0C2" w14:textId="77777777" w:rsidR="005134AF" w:rsidRPr="004A6E37" w:rsidRDefault="005134AF" w:rsidP="0026034A">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CAS </w:t>
      </w:r>
      <w:r w:rsidR="00764F88" w:rsidRPr="004A6E37">
        <w:rPr>
          <w:rFonts w:ascii="Times New Roman" w:eastAsia="Times New Roman" w:hAnsi="Times New Roman" w:cs="Times New Roman"/>
          <w:b/>
          <w:sz w:val="24"/>
          <w:szCs w:val="24"/>
        </w:rPr>
        <w:t>n</w:t>
      </w:r>
      <w:r w:rsidR="00764F88" w:rsidRPr="004A6E37">
        <w:rPr>
          <w:rFonts w:ascii="Times New Roman" w:eastAsia="Times New Roman" w:hAnsi="Times New Roman" w:cs="Times New Roman"/>
          <w:sz w:val="24"/>
          <w:szCs w:val="24"/>
        </w:rPr>
        <w:t>°</w:t>
      </w:r>
      <w:r w:rsidR="00764F88" w:rsidRPr="004A6E37">
        <w:rPr>
          <w:rFonts w:ascii="Times New Roman" w:eastAsia="Times New Roman" w:hAnsi="Times New Roman" w:cs="Times New Roman"/>
          <w:b/>
          <w:sz w:val="24"/>
          <w:szCs w:val="24"/>
        </w:rPr>
        <w:t>1</w:t>
      </w:r>
      <w:r w:rsidRPr="004A6E37">
        <w:rPr>
          <w:rFonts w:ascii="Times New Roman" w:eastAsia="Times New Roman" w:hAnsi="Times New Roman" w:cs="Times New Roman"/>
          <w:b/>
          <w:sz w:val="24"/>
          <w:szCs w:val="24"/>
        </w:rPr>
        <w:t>:</w:t>
      </w:r>
    </w:p>
    <w:p w14:paraId="7006E754" w14:textId="77777777" w:rsidR="00764F88" w:rsidRPr="004A6E37" w:rsidRDefault="00764F88" w:rsidP="0026034A">
      <w:pPr>
        <w:spacing w:after="0" w:line="36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Entre février 2013 et septembre 2020, d’importantes sommes d’argent ont transité sur les comptes bancaires ouverts au nom</w:t>
      </w:r>
      <w:r w:rsidR="00C76BAA" w:rsidRPr="004A6E37">
        <w:rPr>
          <w:rFonts w:ascii="Times New Roman" w:eastAsia="Times New Roman" w:hAnsi="Times New Roman" w:cs="Times New Roman"/>
          <w:sz w:val="24"/>
          <w:szCs w:val="24"/>
          <w:lang w:eastAsia="fr-FR"/>
        </w:rPr>
        <w:t xml:space="preserve"> de certaines sociétés anonymes</w:t>
      </w:r>
      <w:r w:rsidRPr="004A6E37">
        <w:rPr>
          <w:rFonts w:ascii="Times New Roman" w:eastAsia="Times New Roman" w:hAnsi="Times New Roman" w:cs="Times New Roman"/>
          <w:sz w:val="24"/>
          <w:szCs w:val="24"/>
          <w:lang w:eastAsia="fr-FR"/>
        </w:rPr>
        <w:t xml:space="preserve"> et de leurs dirigeants. </w:t>
      </w:r>
    </w:p>
    <w:p w14:paraId="53E56E16" w14:textId="77777777" w:rsidR="00764F88" w:rsidRPr="004A6E37" w:rsidRDefault="00764F88" w:rsidP="0026034A">
      <w:pPr>
        <w:spacing w:after="0" w:line="36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Les flux financiers enregistrés sur les comptes bancaires de ces personnes ph</w:t>
      </w:r>
      <w:r w:rsidR="00C76BAA" w:rsidRPr="004A6E37">
        <w:rPr>
          <w:rFonts w:ascii="Times New Roman" w:eastAsia="Times New Roman" w:hAnsi="Times New Roman" w:cs="Times New Roman"/>
          <w:sz w:val="24"/>
          <w:szCs w:val="24"/>
          <w:lang w:eastAsia="fr-FR"/>
        </w:rPr>
        <w:t>ysiques et morales</w:t>
      </w:r>
      <w:r w:rsidRPr="004A6E37">
        <w:rPr>
          <w:rFonts w:ascii="Times New Roman" w:eastAsia="Times New Roman" w:hAnsi="Times New Roman" w:cs="Times New Roman"/>
          <w:sz w:val="24"/>
          <w:szCs w:val="24"/>
          <w:lang w:eastAsia="fr-FR"/>
        </w:rPr>
        <w:t xml:space="preserve"> sont bien plus important</w:t>
      </w:r>
      <w:r w:rsidR="00C76BAA" w:rsidRPr="004A6E37">
        <w:rPr>
          <w:rFonts w:ascii="Times New Roman" w:eastAsia="Times New Roman" w:hAnsi="Times New Roman" w:cs="Times New Roman"/>
          <w:sz w:val="24"/>
          <w:szCs w:val="24"/>
          <w:lang w:eastAsia="fr-FR"/>
        </w:rPr>
        <w:t xml:space="preserve">s que ceux qu’elles ont </w:t>
      </w:r>
      <w:r w:rsidR="009E1106" w:rsidRPr="004A6E37">
        <w:rPr>
          <w:rFonts w:ascii="Times New Roman" w:eastAsia="Times New Roman" w:hAnsi="Times New Roman" w:cs="Times New Roman"/>
          <w:sz w:val="24"/>
          <w:szCs w:val="24"/>
          <w:lang w:eastAsia="fr-FR"/>
        </w:rPr>
        <w:t>déclarés</w:t>
      </w:r>
      <w:r w:rsidRPr="004A6E37">
        <w:rPr>
          <w:rFonts w:ascii="Times New Roman" w:eastAsia="Times New Roman" w:hAnsi="Times New Roman" w:cs="Times New Roman"/>
          <w:sz w:val="24"/>
          <w:szCs w:val="24"/>
          <w:lang w:eastAsia="fr-FR"/>
        </w:rPr>
        <w:t xml:space="preserve"> aux services des impôts. L’une des sociétés concernées avait même déclaré qu’elle a cessé ses activités depuis 2013, pendant que le compte ouvert en son nom à la banque continuait</w:t>
      </w:r>
      <w:r w:rsidR="00C76BAA" w:rsidRPr="004A6E37">
        <w:rPr>
          <w:rFonts w:ascii="Times New Roman" w:eastAsia="Times New Roman" w:hAnsi="Times New Roman" w:cs="Times New Roman"/>
          <w:sz w:val="24"/>
          <w:szCs w:val="24"/>
          <w:lang w:eastAsia="fr-FR"/>
        </w:rPr>
        <w:t xml:space="preserve"> à enregistrer</w:t>
      </w:r>
      <w:r w:rsidRPr="004A6E37">
        <w:rPr>
          <w:rFonts w:ascii="Times New Roman" w:eastAsia="Times New Roman" w:hAnsi="Times New Roman" w:cs="Times New Roman"/>
          <w:sz w:val="24"/>
          <w:szCs w:val="24"/>
          <w:lang w:eastAsia="fr-FR"/>
        </w:rPr>
        <w:t xml:space="preserve"> des opérations importantes au crédit et au débit. Les mouvements financiers enregistrés sur les comptes bancaires des personnes physiques c’est à dir</w:t>
      </w:r>
      <w:r w:rsidR="004D24E1" w:rsidRPr="004A6E37">
        <w:rPr>
          <w:rFonts w:ascii="Times New Roman" w:eastAsia="Times New Roman" w:hAnsi="Times New Roman" w:cs="Times New Roman"/>
          <w:sz w:val="24"/>
          <w:szCs w:val="24"/>
          <w:lang w:eastAsia="fr-FR"/>
        </w:rPr>
        <w:t>e le comptable et le Directeur g</w:t>
      </w:r>
      <w:r w:rsidRPr="004A6E37">
        <w:rPr>
          <w:rFonts w:ascii="Times New Roman" w:eastAsia="Times New Roman" w:hAnsi="Times New Roman" w:cs="Times New Roman"/>
          <w:sz w:val="24"/>
          <w:szCs w:val="24"/>
          <w:lang w:eastAsia="fr-FR"/>
        </w:rPr>
        <w:t xml:space="preserve">énéral de ladite société, semblent être en lien avec les activités que </w:t>
      </w:r>
      <w:r w:rsidR="00672CA7" w:rsidRPr="004A6E37">
        <w:rPr>
          <w:rFonts w:ascii="Times New Roman" w:eastAsia="Times New Roman" w:hAnsi="Times New Roman" w:cs="Times New Roman"/>
          <w:sz w:val="24"/>
          <w:szCs w:val="24"/>
          <w:lang w:eastAsia="fr-FR"/>
        </w:rPr>
        <w:t xml:space="preserve">la société continue à exercer. En cette </w:t>
      </w:r>
      <w:r w:rsidRPr="004A6E37">
        <w:rPr>
          <w:rFonts w:ascii="Times New Roman" w:eastAsia="Times New Roman" w:hAnsi="Times New Roman" w:cs="Times New Roman"/>
          <w:sz w:val="24"/>
          <w:szCs w:val="24"/>
          <w:lang w:eastAsia="fr-FR"/>
        </w:rPr>
        <w:t>activité, le réseau constitué par les su</w:t>
      </w:r>
      <w:r w:rsidR="006F6AD5" w:rsidRPr="004A6E37">
        <w:rPr>
          <w:rFonts w:ascii="Times New Roman" w:eastAsia="Times New Roman" w:hAnsi="Times New Roman" w:cs="Times New Roman"/>
          <w:sz w:val="24"/>
          <w:szCs w:val="24"/>
          <w:lang w:eastAsia="fr-FR"/>
        </w:rPr>
        <w:t xml:space="preserve">spects a transféré la somme de </w:t>
      </w:r>
      <w:r w:rsidR="00D22E82" w:rsidRPr="004A6E37">
        <w:rPr>
          <w:rFonts w:ascii="Times New Roman" w:eastAsia="Times New Roman" w:hAnsi="Times New Roman" w:cs="Times New Roman"/>
          <w:sz w:val="24"/>
          <w:szCs w:val="24"/>
          <w:lang w:eastAsia="fr-FR"/>
        </w:rPr>
        <w:t>60.290.680.</w:t>
      </w:r>
      <w:r w:rsidR="006F6AD5" w:rsidRPr="004A6E37">
        <w:rPr>
          <w:rFonts w:ascii="Times New Roman" w:eastAsia="Times New Roman" w:hAnsi="Times New Roman" w:cs="Times New Roman"/>
          <w:sz w:val="24"/>
          <w:szCs w:val="24"/>
          <w:lang w:eastAsia="fr-FR"/>
        </w:rPr>
        <w:t>150</w:t>
      </w:r>
      <w:r w:rsidRPr="004A6E37">
        <w:rPr>
          <w:rFonts w:ascii="Times New Roman" w:eastAsia="Times New Roman" w:hAnsi="Times New Roman" w:cs="Times New Roman"/>
          <w:sz w:val="24"/>
          <w:szCs w:val="24"/>
          <w:lang w:eastAsia="fr-FR"/>
        </w:rPr>
        <w:t xml:space="preserve">  FCFA</w:t>
      </w:r>
      <w:r w:rsidR="000D046E" w:rsidRPr="004A6E37">
        <w:rPr>
          <w:rFonts w:ascii="Times New Roman" w:eastAsia="Times New Roman" w:hAnsi="Times New Roman" w:cs="Times New Roman"/>
          <w:sz w:val="24"/>
          <w:szCs w:val="24"/>
          <w:lang w:eastAsia="fr-FR"/>
        </w:rPr>
        <w:t xml:space="preserve"> vers des sociétés Chinoises. L</w:t>
      </w:r>
      <w:r w:rsidRPr="004A6E37">
        <w:rPr>
          <w:rFonts w:ascii="Times New Roman" w:eastAsia="Times New Roman" w:hAnsi="Times New Roman" w:cs="Times New Roman"/>
          <w:sz w:val="24"/>
          <w:szCs w:val="24"/>
          <w:lang w:eastAsia="fr-FR"/>
        </w:rPr>
        <w:t>es entreprises et les personnes concernées ne sont pas répertoriées à la douane comme importatrices ou comme exportatrices</w:t>
      </w:r>
      <w:r w:rsidR="00B56FC5" w:rsidRPr="004A6E37">
        <w:rPr>
          <w:rFonts w:ascii="Times New Roman" w:eastAsia="Times New Roman" w:hAnsi="Times New Roman" w:cs="Times New Roman"/>
          <w:sz w:val="24"/>
          <w:szCs w:val="24"/>
          <w:lang w:eastAsia="fr-FR"/>
        </w:rPr>
        <w:t> ;</w:t>
      </w:r>
      <w:r w:rsidRPr="004A6E37">
        <w:rPr>
          <w:rFonts w:ascii="Times New Roman" w:eastAsia="Times New Roman" w:hAnsi="Times New Roman" w:cs="Times New Roman"/>
          <w:sz w:val="24"/>
          <w:szCs w:val="24"/>
          <w:lang w:eastAsia="fr-FR"/>
        </w:rPr>
        <w:t xml:space="preserve"> ce qui met un sérieux doute sur l’origine et la destination réelle des fonds qu’ils génèrent au Mali</w:t>
      </w:r>
      <w:r w:rsidR="0000352C" w:rsidRPr="004A6E37">
        <w:rPr>
          <w:rFonts w:ascii="Times New Roman" w:eastAsia="Times New Roman" w:hAnsi="Times New Roman" w:cs="Times New Roman"/>
          <w:sz w:val="24"/>
          <w:szCs w:val="24"/>
          <w:lang w:eastAsia="fr-FR"/>
        </w:rPr>
        <w:t>.</w:t>
      </w:r>
      <w:r w:rsidRPr="004A6E37">
        <w:rPr>
          <w:rFonts w:ascii="Times New Roman" w:eastAsia="Times New Roman" w:hAnsi="Times New Roman" w:cs="Times New Roman"/>
          <w:sz w:val="24"/>
          <w:szCs w:val="24"/>
          <w:lang w:eastAsia="fr-FR"/>
        </w:rPr>
        <w:t xml:space="preserve"> </w:t>
      </w:r>
    </w:p>
    <w:p w14:paraId="23BD237A" w14:textId="77777777" w:rsidR="00764F88" w:rsidRPr="004A6E37" w:rsidRDefault="00764F88" w:rsidP="0026034A">
      <w:pPr>
        <w:spacing w:after="0" w:line="36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En définitive, l’opacité totale dans la répartition des revenus des dirigeants et de ceux de l’entreprise et la fongibilité des fonds des comptes personnels et des comptes de sociétés d’une part et d’autre part, les transferts internationaux non justifiés économiquement ajoutés à cela le manque de déclaration des chiffres d’affaire aux impôts justifient le soupçon de blanchiment de capitaux par le biais de la fraude fiscale, de l’infraction fiscale liée aux impôts directs et indirects, et de la dissimulation de l’origine des fonds.</w:t>
      </w:r>
    </w:p>
    <w:p w14:paraId="2A06BEDC" w14:textId="77777777" w:rsidR="00764F88" w:rsidRPr="004A6E37" w:rsidRDefault="00764F88" w:rsidP="0026034A">
      <w:pPr>
        <w:spacing w:after="0" w:line="360" w:lineRule="auto"/>
        <w:jc w:val="both"/>
        <w:rPr>
          <w:rFonts w:ascii="Times New Roman" w:eastAsia="Times New Roman" w:hAnsi="Times New Roman" w:cs="Times New Roman"/>
          <w:sz w:val="12"/>
          <w:szCs w:val="24"/>
          <w:lang w:eastAsia="fr-FR"/>
        </w:rPr>
      </w:pPr>
    </w:p>
    <w:p w14:paraId="5FD4D8F5" w14:textId="77777777" w:rsidR="00764F88" w:rsidRPr="004A6E37" w:rsidRDefault="00764F88" w:rsidP="0026034A">
      <w:pPr>
        <w:spacing w:after="0" w:line="360" w:lineRule="auto"/>
        <w:jc w:val="both"/>
        <w:rPr>
          <w:rFonts w:ascii="Times New Roman" w:eastAsia="Times New Roman" w:hAnsi="Times New Roman" w:cs="Times New Roman"/>
          <w:b/>
          <w:sz w:val="24"/>
          <w:szCs w:val="24"/>
          <w:u w:val="single"/>
          <w:lang w:eastAsia="fr-FR"/>
        </w:rPr>
      </w:pPr>
      <w:r w:rsidRPr="004A6E37">
        <w:rPr>
          <w:rFonts w:ascii="Times New Roman" w:eastAsia="Times New Roman" w:hAnsi="Times New Roman" w:cs="Times New Roman"/>
          <w:b/>
          <w:sz w:val="24"/>
          <w:szCs w:val="24"/>
          <w:u w:val="single"/>
          <w:lang w:eastAsia="fr-FR"/>
        </w:rPr>
        <w:t>CAS n°2</w:t>
      </w:r>
    </w:p>
    <w:p w14:paraId="03942372" w14:textId="77777777" w:rsidR="00764F88" w:rsidRPr="004A6E37" w:rsidRDefault="00764F88" w:rsidP="0026034A">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La société anonyme dénommée LI, spécialisée dans le secteur des bâtiments </w:t>
      </w:r>
      <w:r w:rsidR="00D90037" w:rsidRPr="004A6E37">
        <w:rPr>
          <w:rFonts w:ascii="Times New Roman" w:eastAsia="Calibri" w:hAnsi="Times New Roman" w:cs="Times New Roman"/>
          <w:sz w:val="24"/>
          <w:szCs w:val="24"/>
        </w:rPr>
        <w:t xml:space="preserve">et travaux publics (BTP) </w:t>
      </w:r>
      <w:r w:rsidRPr="004A6E37">
        <w:rPr>
          <w:rFonts w:ascii="Times New Roman" w:eastAsia="Calibri" w:hAnsi="Times New Roman" w:cs="Times New Roman"/>
          <w:sz w:val="24"/>
          <w:szCs w:val="24"/>
        </w:rPr>
        <w:t>est régulièrement installée au Mali</w:t>
      </w:r>
      <w:r w:rsidR="00555A26" w:rsidRPr="004A6E37">
        <w:rPr>
          <w:rFonts w:ascii="Times New Roman" w:eastAsia="Calibri" w:hAnsi="Times New Roman" w:cs="Times New Roman"/>
          <w:sz w:val="24"/>
          <w:szCs w:val="24"/>
        </w:rPr>
        <w:t xml:space="preserve">. Elle </w:t>
      </w:r>
      <w:r w:rsidRPr="004A6E37">
        <w:rPr>
          <w:rFonts w:ascii="Times New Roman" w:eastAsia="Calibri" w:hAnsi="Times New Roman" w:cs="Times New Roman"/>
          <w:sz w:val="24"/>
          <w:szCs w:val="24"/>
        </w:rPr>
        <w:t>a été adjudicataire d’un marché public. Un semestre après l’exécution conforme des travaux, les services financiers de l’autorité contractante procèdent au règlement par un chèque de 200 millions à l’ordre de la société LI. Le chèque est récupéré par Monsieur DJ</w:t>
      </w:r>
      <w:r w:rsidR="007A5ABE" w:rsidRPr="004A6E37">
        <w:rPr>
          <w:rFonts w:ascii="Times New Roman" w:eastAsia="Calibri" w:hAnsi="Times New Roman" w:cs="Times New Roman"/>
          <w:sz w:val="24"/>
          <w:szCs w:val="24"/>
        </w:rPr>
        <w:t>O</w:t>
      </w:r>
      <w:r w:rsidRPr="004A6E37">
        <w:rPr>
          <w:rFonts w:ascii="Times New Roman" w:eastAsia="Calibri" w:hAnsi="Times New Roman" w:cs="Times New Roman"/>
          <w:sz w:val="24"/>
          <w:szCs w:val="24"/>
        </w:rPr>
        <w:t xml:space="preserve">, employé de la société LI en qualité d’agent de liaison. Celui-ci, au lieu de remettre le chèque au responsable financier de la société LI, l’endosse au profit d’une entreprise dénommée SOU pour encaissement dans le compte ouvert au nom de cette dernière dans les livres de la banque CO. En réponse aux interrogations de la banque CO, qui tient par </w:t>
      </w:r>
      <w:r w:rsidRPr="004A6E37">
        <w:rPr>
          <w:rFonts w:ascii="Times New Roman" w:eastAsia="Calibri" w:hAnsi="Times New Roman" w:cs="Times New Roman"/>
          <w:sz w:val="24"/>
          <w:szCs w:val="24"/>
        </w:rPr>
        <w:lastRenderedPageBreak/>
        <w:t>ailleurs le compt</w:t>
      </w:r>
      <w:r w:rsidR="00F91232" w:rsidRPr="004A6E37">
        <w:rPr>
          <w:rFonts w:ascii="Times New Roman" w:eastAsia="Calibri" w:hAnsi="Times New Roman" w:cs="Times New Roman"/>
          <w:sz w:val="24"/>
          <w:szCs w:val="24"/>
        </w:rPr>
        <w:t>e de la société LI, Monsieur DJ</w:t>
      </w:r>
      <w:r w:rsidR="007A5ABE" w:rsidRPr="004A6E37">
        <w:rPr>
          <w:rFonts w:ascii="Times New Roman" w:eastAsia="Calibri" w:hAnsi="Times New Roman" w:cs="Times New Roman"/>
          <w:sz w:val="24"/>
          <w:szCs w:val="24"/>
        </w:rPr>
        <w:t>O</w:t>
      </w:r>
      <w:r w:rsidRPr="004A6E37">
        <w:rPr>
          <w:rFonts w:ascii="Times New Roman" w:eastAsia="Calibri" w:hAnsi="Times New Roman" w:cs="Times New Roman"/>
          <w:sz w:val="24"/>
          <w:szCs w:val="24"/>
        </w:rPr>
        <w:t xml:space="preserve"> explique qu’il est également actionnaire de ladite société</w:t>
      </w:r>
      <w:r w:rsidR="00F91232" w:rsidRPr="004A6E37">
        <w:rPr>
          <w:rFonts w:ascii="Times New Roman" w:eastAsia="Calibri" w:hAnsi="Times New Roman" w:cs="Times New Roman"/>
          <w:sz w:val="24"/>
          <w:szCs w:val="24"/>
        </w:rPr>
        <w:t>.</w:t>
      </w:r>
    </w:p>
    <w:p w14:paraId="65208A3A" w14:textId="77777777" w:rsidR="00764F88" w:rsidRPr="004A6E37" w:rsidRDefault="00764F88" w:rsidP="0026034A">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 Les enquêtes menées par la CENTIF ont conduit aux résultats ci-après : </w:t>
      </w:r>
    </w:p>
    <w:p w14:paraId="2C63CDA8" w14:textId="77777777" w:rsidR="00764F88" w:rsidRPr="004A6E37" w:rsidRDefault="000A2913"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 </w:t>
      </w:r>
      <w:r w:rsidR="00764F88" w:rsidRPr="004A6E37">
        <w:rPr>
          <w:rFonts w:ascii="Times New Roman" w:eastAsia="Times New Roman" w:hAnsi="Times New Roman" w:cs="Times New Roman"/>
          <w:sz w:val="24"/>
          <w:szCs w:val="24"/>
        </w:rPr>
        <w:t xml:space="preserve">le marché pour lequel le paiement est effectué a été attribué à la société LI de manière régulière ; </w:t>
      </w:r>
    </w:p>
    <w:p w14:paraId="0BD55FCE" w14:textId="77777777" w:rsidR="00764F88" w:rsidRPr="004A6E37" w:rsidRDefault="000A2913"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764F88" w:rsidRPr="004A6E37">
        <w:rPr>
          <w:rFonts w:ascii="Times New Roman" w:eastAsia="Times New Roman" w:hAnsi="Times New Roman" w:cs="Times New Roman"/>
          <w:sz w:val="24"/>
          <w:szCs w:val="24"/>
        </w:rPr>
        <w:t>e règlement y afférent a été effectué par les services financiers de l’autorité contractante conformément aux procédures applicables ;</w:t>
      </w:r>
    </w:p>
    <w:p w14:paraId="13C9170A" w14:textId="77777777" w:rsidR="00764F88" w:rsidRPr="004A6E37" w:rsidRDefault="00764F88"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Monsieur DJO est le propriétaire de SOU en même temps qu’il est employé de la société LI comme agent de liaison entre son employeur</w:t>
      </w:r>
      <w:r w:rsidR="000A2913" w:rsidRPr="004A6E37">
        <w:rPr>
          <w:rFonts w:ascii="Times New Roman" w:eastAsia="Times New Roman" w:hAnsi="Times New Roman" w:cs="Times New Roman"/>
          <w:sz w:val="24"/>
          <w:szCs w:val="24"/>
        </w:rPr>
        <w:t xml:space="preserve"> et les partenaires de celui-ci. </w:t>
      </w:r>
    </w:p>
    <w:p w14:paraId="24858CC3" w14:textId="77777777" w:rsidR="00764F88" w:rsidRPr="004A6E37" w:rsidRDefault="00764F88" w:rsidP="0026034A">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Pour ce faire, Monsieur DJO aurait imité la signature de Monsieur KE, gérant de la société LI, pour endosser le chèque au profit de sa propre société, SOU. Ces indices de blanchiment de capitaux de produits d’infraction de faux et usage de faux en écritures privées, de soustraction, de détournement de fonds, ont été portés à la connaissance de l’autorité</w:t>
      </w:r>
      <w:r w:rsidR="00432FEC" w:rsidRPr="004A6E37">
        <w:rPr>
          <w:rFonts w:ascii="Times New Roman" w:eastAsia="Calibri" w:hAnsi="Times New Roman" w:cs="Times New Roman"/>
          <w:sz w:val="24"/>
          <w:szCs w:val="24"/>
        </w:rPr>
        <w:t>.</w:t>
      </w:r>
    </w:p>
    <w:p w14:paraId="3275DC2C" w14:textId="77777777" w:rsidR="00432FEC" w:rsidRPr="004A6E37" w:rsidRDefault="00432FEC" w:rsidP="0026034A">
      <w:pPr>
        <w:spacing w:line="360" w:lineRule="auto"/>
        <w:jc w:val="both"/>
        <w:rPr>
          <w:rFonts w:ascii="Times New Roman" w:eastAsia="Calibri" w:hAnsi="Times New Roman" w:cs="Times New Roman"/>
          <w:b/>
          <w:sz w:val="24"/>
          <w:szCs w:val="24"/>
        </w:rPr>
      </w:pPr>
      <w:r w:rsidRPr="004A6E37">
        <w:rPr>
          <w:rFonts w:ascii="Times New Roman" w:eastAsia="Calibri" w:hAnsi="Times New Roman" w:cs="Times New Roman"/>
          <w:b/>
          <w:sz w:val="24"/>
          <w:szCs w:val="24"/>
        </w:rPr>
        <w:t>2.1.2</w:t>
      </w:r>
      <w:r w:rsidRPr="004A6E37">
        <w:rPr>
          <w:rFonts w:ascii="Times New Roman" w:eastAsia="Calibri" w:hAnsi="Times New Roman" w:cs="Times New Roman"/>
          <w:sz w:val="24"/>
          <w:szCs w:val="24"/>
        </w:rPr>
        <w:t>.</w:t>
      </w:r>
      <w:r w:rsidRPr="004A6E37">
        <w:rPr>
          <w:rFonts w:ascii="Times New Roman" w:eastAsia="Calibri" w:hAnsi="Times New Roman" w:cs="Times New Roman"/>
          <w:b/>
          <w:sz w:val="24"/>
          <w:szCs w:val="24"/>
        </w:rPr>
        <w:t xml:space="preserve"> Vulnérabilités</w:t>
      </w:r>
    </w:p>
    <w:p w14:paraId="6E8C5AD3" w14:textId="77777777" w:rsidR="0048426D" w:rsidRPr="004A6E37" w:rsidRDefault="00E452F2" w:rsidP="0026034A">
      <w:pPr>
        <w:spacing w:line="360" w:lineRule="auto"/>
        <w:jc w:val="both"/>
        <w:rPr>
          <w:rFonts w:ascii="Times New Roman" w:eastAsia="Calibri" w:hAnsi="Times New Roman" w:cs="Times New Roman"/>
          <w:b/>
          <w:sz w:val="24"/>
          <w:szCs w:val="24"/>
        </w:rPr>
      </w:pPr>
      <w:r w:rsidRPr="004A6E37">
        <w:rPr>
          <w:rFonts w:ascii="Times New Roman" w:eastAsia="Calibri" w:hAnsi="Times New Roman" w:cs="Times New Roman"/>
          <w:sz w:val="24"/>
          <w:szCs w:val="24"/>
        </w:rPr>
        <w:t>L’évaluation de la vulnérabilité a été faite par celle des variables de l’outil</w:t>
      </w:r>
      <w:r w:rsidRPr="004A6E37">
        <w:rPr>
          <w:rFonts w:ascii="Times New Roman" w:eastAsia="Calibri" w:hAnsi="Times New Roman" w:cs="Times New Roman"/>
          <w:b/>
          <w:sz w:val="24"/>
          <w:szCs w:val="24"/>
        </w:rPr>
        <w:t>.</w:t>
      </w:r>
      <w:r w:rsidR="00BD55AF" w:rsidRPr="004A6E37">
        <w:rPr>
          <w:rFonts w:ascii="Times New Roman" w:eastAsia="Calibri" w:hAnsi="Times New Roman" w:cs="Times New Roman"/>
          <w:b/>
          <w:sz w:val="24"/>
          <w:szCs w:val="24"/>
        </w:rPr>
        <w:t xml:space="preserve"> </w:t>
      </w:r>
      <w:r w:rsidR="00883100" w:rsidRPr="004A6E37">
        <w:rPr>
          <w:rFonts w:ascii="Times New Roman" w:eastAsia="Calibri" w:hAnsi="Times New Roman" w:cs="Times New Roman"/>
          <w:sz w:val="24"/>
          <w:szCs w:val="24"/>
        </w:rPr>
        <w:t>L’évaluation des valeurs intermédiaires des sociétés anonymes nationales a donné les résultats consignés dans le tableau ci-dessous.</w:t>
      </w:r>
    </w:p>
    <w:tbl>
      <w:tblPr>
        <w:tblW w:w="9791" w:type="dxa"/>
        <w:tblInd w:w="60" w:type="dxa"/>
        <w:tblCellMar>
          <w:left w:w="70" w:type="dxa"/>
          <w:right w:w="70" w:type="dxa"/>
        </w:tblCellMar>
        <w:tblLook w:val="04A0" w:firstRow="1" w:lastRow="0" w:firstColumn="1" w:lastColumn="0" w:noHBand="0" w:noVBand="1"/>
      </w:tblPr>
      <w:tblGrid>
        <w:gridCol w:w="7098"/>
        <w:gridCol w:w="2693"/>
      </w:tblGrid>
      <w:tr w:rsidR="003D6045" w:rsidRPr="004A6E37" w14:paraId="5D3A205A" w14:textId="77777777" w:rsidTr="00FF4F26">
        <w:trPr>
          <w:trHeight w:val="534"/>
        </w:trPr>
        <w:tc>
          <w:tcPr>
            <w:tcW w:w="7098" w:type="dxa"/>
            <w:tcBorders>
              <w:top w:val="nil"/>
              <w:left w:val="single" w:sz="8" w:space="0" w:color="auto"/>
              <w:bottom w:val="nil"/>
              <w:right w:val="single" w:sz="8" w:space="0" w:color="auto"/>
            </w:tcBorders>
            <w:shd w:val="clear" w:color="000000" w:fill="203764"/>
            <w:noWrap/>
            <w:vAlign w:val="center"/>
            <w:hideMark/>
          </w:tcPr>
          <w:p w14:paraId="19853E80"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Variables intermédiaires</w:t>
            </w:r>
          </w:p>
        </w:tc>
        <w:tc>
          <w:tcPr>
            <w:tcW w:w="2693" w:type="dxa"/>
            <w:tcBorders>
              <w:top w:val="nil"/>
              <w:left w:val="nil"/>
              <w:bottom w:val="nil"/>
              <w:right w:val="single" w:sz="8" w:space="0" w:color="auto"/>
            </w:tcBorders>
            <w:shd w:val="clear" w:color="000000" w:fill="203764"/>
            <w:noWrap/>
            <w:vAlign w:val="center"/>
            <w:hideMark/>
          </w:tcPr>
          <w:p w14:paraId="27BB7311"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Scores intermédiaires</w:t>
            </w:r>
          </w:p>
        </w:tc>
      </w:tr>
      <w:tr w:rsidR="003D6045" w:rsidRPr="004A6E37" w14:paraId="38664A69" w14:textId="77777777" w:rsidTr="00FF4F26">
        <w:trPr>
          <w:trHeight w:val="421"/>
        </w:trPr>
        <w:tc>
          <w:tcPr>
            <w:tcW w:w="709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9F7F9FC" w14:textId="77777777" w:rsidR="00E452F2" w:rsidRPr="004A6E37" w:rsidRDefault="00E452F2"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Échelle</w:t>
            </w:r>
          </w:p>
        </w:tc>
        <w:tc>
          <w:tcPr>
            <w:tcW w:w="2693" w:type="dxa"/>
            <w:tcBorders>
              <w:top w:val="single" w:sz="4" w:space="0" w:color="auto"/>
              <w:left w:val="nil"/>
              <w:bottom w:val="single" w:sz="4" w:space="0" w:color="auto"/>
              <w:right w:val="single" w:sz="4" w:space="0" w:color="auto"/>
            </w:tcBorders>
            <w:shd w:val="clear" w:color="000000" w:fill="F2F2F2"/>
            <w:noWrap/>
            <w:vAlign w:val="center"/>
            <w:hideMark/>
          </w:tcPr>
          <w:p w14:paraId="593DF17E"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0,70</w:t>
            </w:r>
          </w:p>
        </w:tc>
      </w:tr>
      <w:tr w:rsidR="003D6045" w:rsidRPr="004A6E37" w14:paraId="5D75D388" w14:textId="77777777" w:rsidTr="00FF4F26">
        <w:trPr>
          <w:trHeight w:val="410"/>
        </w:trPr>
        <w:tc>
          <w:tcPr>
            <w:tcW w:w="7098" w:type="dxa"/>
            <w:tcBorders>
              <w:top w:val="nil"/>
              <w:left w:val="single" w:sz="4" w:space="0" w:color="auto"/>
              <w:bottom w:val="single" w:sz="4" w:space="0" w:color="auto"/>
              <w:right w:val="single" w:sz="4" w:space="0" w:color="auto"/>
            </w:tcBorders>
            <w:shd w:val="clear" w:color="000000" w:fill="D9E1F2"/>
            <w:vAlign w:val="center"/>
            <w:hideMark/>
          </w:tcPr>
          <w:p w14:paraId="47417D9A" w14:textId="77777777" w:rsidR="00E452F2" w:rsidRPr="004A6E37" w:rsidRDefault="00E452F2"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Exposition au risque transfrontalière</w:t>
            </w:r>
          </w:p>
        </w:tc>
        <w:tc>
          <w:tcPr>
            <w:tcW w:w="2693" w:type="dxa"/>
            <w:tcBorders>
              <w:top w:val="nil"/>
              <w:left w:val="nil"/>
              <w:bottom w:val="single" w:sz="4" w:space="0" w:color="auto"/>
              <w:right w:val="single" w:sz="4" w:space="0" w:color="auto"/>
            </w:tcBorders>
            <w:shd w:val="clear" w:color="000000" w:fill="F2F2F2"/>
            <w:noWrap/>
            <w:vAlign w:val="center"/>
            <w:hideMark/>
          </w:tcPr>
          <w:p w14:paraId="367C6685"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3D6045" w:rsidRPr="004A6E37" w14:paraId="2852B349" w14:textId="77777777" w:rsidTr="00FF4F26">
        <w:trPr>
          <w:trHeight w:val="557"/>
        </w:trPr>
        <w:tc>
          <w:tcPr>
            <w:tcW w:w="7098" w:type="dxa"/>
            <w:tcBorders>
              <w:top w:val="nil"/>
              <w:left w:val="single" w:sz="4" w:space="0" w:color="auto"/>
              <w:bottom w:val="single" w:sz="4" w:space="0" w:color="auto"/>
              <w:right w:val="single" w:sz="4" w:space="0" w:color="auto"/>
            </w:tcBorders>
            <w:shd w:val="clear" w:color="000000" w:fill="D9E1F2"/>
            <w:vAlign w:val="center"/>
            <w:hideMark/>
          </w:tcPr>
          <w:p w14:paraId="0C40F2BC" w14:textId="77777777" w:rsidR="00E452F2" w:rsidRPr="004A6E37" w:rsidRDefault="00E452F2"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Facilité, vitesse et coûts de formation / enregistrement</w:t>
            </w:r>
          </w:p>
        </w:tc>
        <w:tc>
          <w:tcPr>
            <w:tcW w:w="2693" w:type="dxa"/>
            <w:tcBorders>
              <w:top w:val="nil"/>
              <w:left w:val="nil"/>
              <w:bottom w:val="single" w:sz="4" w:space="0" w:color="auto"/>
              <w:right w:val="single" w:sz="4" w:space="0" w:color="auto"/>
            </w:tcBorders>
            <w:shd w:val="clear" w:color="000000" w:fill="F2F2F2"/>
            <w:noWrap/>
            <w:vAlign w:val="center"/>
            <w:hideMark/>
          </w:tcPr>
          <w:p w14:paraId="32ACC01C"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3D6045" w:rsidRPr="004A6E37" w14:paraId="59472CBF" w14:textId="77777777" w:rsidTr="00FF4F26">
        <w:trPr>
          <w:trHeight w:val="425"/>
        </w:trPr>
        <w:tc>
          <w:tcPr>
            <w:tcW w:w="7098" w:type="dxa"/>
            <w:tcBorders>
              <w:top w:val="nil"/>
              <w:left w:val="single" w:sz="4" w:space="0" w:color="auto"/>
              <w:bottom w:val="single" w:sz="4" w:space="0" w:color="auto"/>
              <w:right w:val="single" w:sz="4" w:space="0" w:color="auto"/>
            </w:tcBorders>
            <w:shd w:val="clear" w:color="000000" w:fill="D9E1F2"/>
            <w:vAlign w:val="center"/>
            <w:hideMark/>
          </w:tcPr>
          <w:p w14:paraId="07B4CB71" w14:textId="77777777" w:rsidR="00E452F2" w:rsidRPr="004A6E37" w:rsidRDefault="00E452F2"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Attractivité pour une utilisation non résidente</w:t>
            </w:r>
          </w:p>
        </w:tc>
        <w:tc>
          <w:tcPr>
            <w:tcW w:w="2693" w:type="dxa"/>
            <w:tcBorders>
              <w:top w:val="nil"/>
              <w:left w:val="nil"/>
              <w:bottom w:val="single" w:sz="4" w:space="0" w:color="auto"/>
              <w:right w:val="single" w:sz="4" w:space="0" w:color="auto"/>
            </w:tcBorders>
            <w:shd w:val="clear" w:color="000000" w:fill="F2F2F2"/>
            <w:noWrap/>
            <w:vAlign w:val="center"/>
            <w:hideMark/>
          </w:tcPr>
          <w:p w14:paraId="3DED7250"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0,25</w:t>
            </w:r>
          </w:p>
        </w:tc>
      </w:tr>
      <w:tr w:rsidR="003D6045" w:rsidRPr="004A6E37" w14:paraId="1A7AB192" w14:textId="77777777" w:rsidTr="00FF4F26">
        <w:trPr>
          <w:trHeight w:val="419"/>
        </w:trPr>
        <w:tc>
          <w:tcPr>
            <w:tcW w:w="7098" w:type="dxa"/>
            <w:tcBorders>
              <w:top w:val="nil"/>
              <w:left w:val="single" w:sz="4" w:space="0" w:color="auto"/>
              <w:bottom w:val="single" w:sz="4" w:space="0" w:color="auto"/>
              <w:right w:val="single" w:sz="4" w:space="0" w:color="auto"/>
            </w:tcBorders>
            <w:shd w:val="clear" w:color="000000" w:fill="D9E1F2"/>
            <w:vAlign w:val="center"/>
            <w:hideMark/>
          </w:tcPr>
          <w:p w14:paraId="1A8C7262" w14:textId="77777777" w:rsidR="00E452F2" w:rsidRPr="004A6E37" w:rsidRDefault="00E452F2"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 de base</w:t>
            </w:r>
          </w:p>
        </w:tc>
        <w:tc>
          <w:tcPr>
            <w:tcW w:w="2693" w:type="dxa"/>
            <w:tcBorders>
              <w:top w:val="nil"/>
              <w:left w:val="nil"/>
              <w:bottom w:val="single" w:sz="4" w:space="0" w:color="auto"/>
              <w:right w:val="single" w:sz="4" w:space="0" w:color="auto"/>
            </w:tcBorders>
            <w:shd w:val="clear" w:color="000000" w:fill="F2F2F2"/>
            <w:noWrap/>
            <w:vAlign w:val="center"/>
            <w:hideMark/>
          </w:tcPr>
          <w:p w14:paraId="190CC8A9"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3D6045" w:rsidRPr="004A6E37" w14:paraId="3FB92555" w14:textId="77777777" w:rsidTr="00FF4F26">
        <w:trPr>
          <w:trHeight w:val="414"/>
        </w:trPr>
        <w:tc>
          <w:tcPr>
            <w:tcW w:w="7098" w:type="dxa"/>
            <w:tcBorders>
              <w:top w:val="nil"/>
              <w:left w:val="single" w:sz="4" w:space="0" w:color="auto"/>
              <w:bottom w:val="single" w:sz="4" w:space="0" w:color="auto"/>
              <w:right w:val="single" w:sz="4" w:space="0" w:color="auto"/>
            </w:tcBorders>
            <w:shd w:val="clear" w:color="000000" w:fill="D9E1F2"/>
            <w:vAlign w:val="center"/>
            <w:hideMark/>
          </w:tcPr>
          <w:p w14:paraId="6FFAEE06" w14:textId="77777777" w:rsidR="00E452F2" w:rsidRPr="004A6E37" w:rsidRDefault="00E452F2" w:rsidP="00FF4F26">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w:t>
            </w:r>
            <w:r w:rsidR="00937844" w:rsidRPr="004A6E37">
              <w:rPr>
                <w:rFonts w:ascii="Times New Roman" w:eastAsia="Times New Roman" w:hAnsi="Times New Roman" w:cs="Times New Roman"/>
                <w:szCs w:val="28"/>
                <w:lang w:eastAsia="fr-CA"/>
              </w:rPr>
              <w:t xml:space="preserve"> du</w:t>
            </w:r>
            <w:r w:rsidRPr="004A6E37">
              <w:rPr>
                <w:rFonts w:ascii="Times New Roman" w:eastAsia="Times New Roman" w:hAnsi="Times New Roman" w:cs="Times New Roman"/>
                <w:szCs w:val="28"/>
                <w:lang w:eastAsia="fr-CA"/>
              </w:rPr>
              <w:t xml:space="preserve"> </w:t>
            </w:r>
            <w:r w:rsidR="00FF4F26" w:rsidRPr="004A6E37">
              <w:rPr>
                <w:rFonts w:ascii="Times New Roman" w:eastAsia="Times New Roman" w:hAnsi="Times New Roman" w:cs="Times New Roman"/>
                <w:szCs w:val="28"/>
                <w:lang w:eastAsia="fr-CA"/>
              </w:rPr>
              <w:t xml:space="preserve">bénéficiaire effectif </w:t>
            </w:r>
          </w:p>
        </w:tc>
        <w:tc>
          <w:tcPr>
            <w:tcW w:w="2693" w:type="dxa"/>
            <w:tcBorders>
              <w:top w:val="nil"/>
              <w:left w:val="nil"/>
              <w:bottom w:val="single" w:sz="4" w:space="0" w:color="auto"/>
              <w:right w:val="single" w:sz="4" w:space="0" w:color="auto"/>
            </w:tcBorders>
            <w:shd w:val="clear" w:color="000000" w:fill="F2F2F2"/>
            <w:noWrap/>
            <w:vAlign w:val="center"/>
            <w:hideMark/>
          </w:tcPr>
          <w:p w14:paraId="088A6108"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0,78</w:t>
            </w:r>
          </w:p>
        </w:tc>
      </w:tr>
      <w:tr w:rsidR="003D6045" w:rsidRPr="004A6E37" w14:paraId="4FF5A1C9" w14:textId="77777777" w:rsidTr="00FF4F26">
        <w:trPr>
          <w:trHeight w:val="421"/>
        </w:trPr>
        <w:tc>
          <w:tcPr>
            <w:tcW w:w="7098" w:type="dxa"/>
            <w:tcBorders>
              <w:top w:val="nil"/>
              <w:left w:val="single" w:sz="4" w:space="0" w:color="auto"/>
              <w:bottom w:val="single" w:sz="4" w:space="0" w:color="auto"/>
              <w:right w:val="single" w:sz="4" w:space="0" w:color="auto"/>
            </w:tcBorders>
            <w:shd w:val="clear" w:color="000000" w:fill="D9E1F2"/>
            <w:vAlign w:val="center"/>
            <w:hideMark/>
          </w:tcPr>
          <w:p w14:paraId="3CD9F4E9" w14:textId="77777777" w:rsidR="00E452F2" w:rsidRPr="004A6E37" w:rsidRDefault="00E452F2"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Incidence dans les cas ML / TF analysés</w:t>
            </w:r>
          </w:p>
        </w:tc>
        <w:tc>
          <w:tcPr>
            <w:tcW w:w="2693" w:type="dxa"/>
            <w:tcBorders>
              <w:top w:val="nil"/>
              <w:left w:val="nil"/>
              <w:bottom w:val="single" w:sz="4" w:space="0" w:color="auto"/>
              <w:right w:val="single" w:sz="4" w:space="0" w:color="auto"/>
            </w:tcBorders>
            <w:shd w:val="clear" w:color="000000" w:fill="F2F2F2"/>
            <w:noWrap/>
            <w:vAlign w:val="center"/>
            <w:hideMark/>
          </w:tcPr>
          <w:p w14:paraId="10956FFB"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E452F2" w:rsidRPr="004A6E37" w14:paraId="4BACA0D5" w14:textId="77777777" w:rsidTr="00FF4F26">
        <w:trPr>
          <w:trHeight w:val="275"/>
        </w:trPr>
        <w:tc>
          <w:tcPr>
            <w:tcW w:w="7098" w:type="dxa"/>
            <w:tcBorders>
              <w:top w:val="nil"/>
              <w:left w:val="single" w:sz="8" w:space="0" w:color="auto"/>
              <w:bottom w:val="single" w:sz="8" w:space="0" w:color="auto"/>
              <w:right w:val="single" w:sz="8" w:space="0" w:color="auto"/>
            </w:tcBorders>
            <w:shd w:val="clear" w:color="000000" w:fill="203764"/>
            <w:noWrap/>
            <w:vAlign w:val="center"/>
            <w:hideMark/>
          </w:tcPr>
          <w:p w14:paraId="1D4C7F4D" w14:textId="77777777" w:rsidR="00E452F2" w:rsidRPr="004A6E37" w:rsidRDefault="00851BC0"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Niveau</w:t>
            </w:r>
            <w:r w:rsidR="00E452F2" w:rsidRPr="004A6E37">
              <w:rPr>
                <w:rFonts w:ascii="Times New Roman" w:eastAsia="Times New Roman" w:hAnsi="Times New Roman" w:cs="Times New Roman"/>
                <w:b/>
                <w:bCs/>
                <w:szCs w:val="28"/>
                <w:lang w:eastAsia="fr-CA"/>
              </w:rPr>
              <w:t xml:space="preserve"> global</w:t>
            </w:r>
          </w:p>
        </w:tc>
        <w:tc>
          <w:tcPr>
            <w:tcW w:w="2693" w:type="dxa"/>
            <w:tcBorders>
              <w:top w:val="nil"/>
              <w:left w:val="nil"/>
              <w:bottom w:val="nil"/>
              <w:right w:val="nil"/>
            </w:tcBorders>
            <w:shd w:val="clear" w:color="000000" w:fill="203764"/>
            <w:noWrap/>
            <w:vAlign w:val="center"/>
            <w:hideMark/>
          </w:tcPr>
          <w:p w14:paraId="1ABC7A4D" w14:textId="77777777" w:rsidR="00E452F2" w:rsidRPr="004A6E37" w:rsidRDefault="00E452F2" w:rsidP="00E452F2">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0,45</w:t>
            </w:r>
          </w:p>
        </w:tc>
      </w:tr>
    </w:tbl>
    <w:p w14:paraId="38A2E272" w14:textId="77777777" w:rsidR="00E452F2" w:rsidRPr="004A6E37" w:rsidRDefault="00E452F2" w:rsidP="00764F88">
      <w:pPr>
        <w:jc w:val="both"/>
        <w:rPr>
          <w:rFonts w:ascii="Times New Roman" w:eastAsia="Calibri" w:hAnsi="Times New Roman" w:cs="Times New Roman"/>
          <w:b/>
          <w:sz w:val="24"/>
          <w:szCs w:val="24"/>
        </w:rPr>
      </w:pPr>
    </w:p>
    <w:p w14:paraId="5BD60BCD" w14:textId="77777777" w:rsidR="00E63976" w:rsidRPr="004A6E37" w:rsidRDefault="00E63976" w:rsidP="00883100">
      <w:pPr>
        <w:jc w:val="both"/>
        <w:rPr>
          <w:rFonts w:ascii="Times New Roman" w:eastAsia="Calibri" w:hAnsi="Times New Roman" w:cs="Times New Roman"/>
          <w:sz w:val="24"/>
          <w:szCs w:val="24"/>
        </w:rPr>
      </w:pPr>
    </w:p>
    <w:p w14:paraId="3D8F8FE3" w14:textId="77777777" w:rsidR="00E63976" w:rsidRPr="004A6E37" w:rsidRDefault="00E63976" w:rsidP="00883100">
      <w:pPr>
        <w:jc w:val="both"/>
        <w:rPr>
          <w:rFonts w:ascii="Times New Roman" w:eastAsia="Calibri" w:hAnsi="Times New Roman" w:cs="Times New Roman"/>
          <w:sz w:val="24"/>
          <w:szCs w:val="24"/>
        </w:rPr>
      </w:pPr>
    </w:p>
    <w:p w14:paraId="478FDE31" w14:textId="77777777" w:rsidR="00E63976" w:rsidRPr="004A6E37" w:rsidRDefault="00E63976" w:rsidP="00883100">
      <w:pPr>
        <w:jc w:val="both"/>
        <w:rPr>
          <w:rFonts w:ascii="Times New Roman" w:eastAsia="Calibri" w:hAnsi="Times New Roman" w:cs="Times New Roman"/>
          <w:sz w:val="24"/>
          <w:szCs w:val="24"/>
        </w:rPr>
      </w:pPr>
    </w:p>
    <w:p w14:paraId="754BD8C3" w14:textId="77777777" w:rsidR="00883100" w:rsidRPr="004A6E37" w:rsidRDefault="00883100" w:rsidP="00883100">
      <w:pPr>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lastRenderedPageBreak/>
        <w:t xml:space="preserve">L’évaluation des valeurs intermédiaires des sociétés anonymes étrangères a donné les résultats </w:t>
      </w:r>
      <w:r w:rsidR="00F8144E" w:rsidRPr="004A6E37">
        <w:rPr>
          <w:rFonts w:ascii="Times New Roman" w:eastAsia="Calibri" w:hAnsi="Times New Roman" w:cs="Times New Roman"/>
          <w:sz w:val="24"/>
          <w:szCs w:val="24"/>
        </w:rPr>
        <w:t>c</w:t>
      </w:r>
      <w:r w:rsidR="00851BC0" w:rsidRPr="004A6E37">
        <w:rPr>
          <w:rFonts w:ascii="Times New Roman" w:eastAsia="Calibri" w:hAnsi="Times New Roman" w:cs="Times New Roman"/>
          <w:sz w:val="24"/>
          <w:szCs w:val="24"/>
        </w:rPr>
        <w:t>onsignés</w:t>
      </w:r>
      <w:r w:rsidRPr="004A6E37">
        <w:rPr>
          <w:rFonts w:ascii="Times New Roman" w:eastAsia="Calibri" w:hAnsi="Times New Roman" w:cs="Times New Roman"/>
          <w:sz w:val="24"/>
          <w:szCs w:val="24"/>
        </w:rPr>
        <w:t xml:space="preserve"> dans le tableau ci-dessous.</w:t>
      </w:r>
    </w:p>
    <w:tbl>
      <w:tblPr>
        <w:tblW w:w="9639" w:type="dxa"/>
        <w:tblInd w:w="132" w:type="dxa"/>
        <w:tblCellMar>
          <w:left w:w="70" w:type="dxa"/>
          <w:right w:w="70" w:type="dxa"/>
        </w:tblCellMar>
        <w:tblLook w:val="04A0" w:firstRow="1" w:lastRow="0" w:firstColumn="1" w:lastColumn="0" w:noHBand="0" w:noVBand="1"/>
      </w:tblPr>
      <w:tblGrid>
        <w:gridCol w:w="7451"/>
        <w:gridCol w:w="2188"/>
      </w:tblGrid>
      <w:tr w:rsidR="00F34B97" w:rsidRPr="004A6E37" w14:paraId="7EC824C9" w14:textId="77777777" w:rsidTr="005F4953">
        <w:trPr>
          <w:trHeight w:val="761"/>
        </w:trPr>
        <w:tc>
          <w:tcPr>
            <w:tcW w:w="7451" w:type="dxa"/>
            <w:tcBorders>
              <w:top w:val="nil"/>
              <w:left w:val="single" w:sz="8" w:space="0" w:color="auto"/>
              <w:bottom w:val="nil"/>
              <w:right w:val="single" w:sz="8" w:space="0" w:color="auto"/>
            </w:tcBorders>
            <w:shd w:val="clear" w:color="000000" w:fill="203764"/>
            <w:noWrap/>
            <w:vAlign w:val="center"/>
            <w:hideMark/>
          </w:tcPr>
          <w:p w14:paraId="79C79E4F"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Variables intermédiaires</w:t>
            </w:r>
          </w:p>
        </w:tc>
        <w:tc>
          <w:tcPr>
            <w:tcW w:w="2188" w:type="dxa"/>
            <w:tcBorders>
              <w:top w:val="nil"/>
              <w:left w:val="nil"/>
              <w:bottom w:val="nil"/>
              <w:right w:val="single" w:sz="8" w:space="0" w:color="auto"/>
            </w:tcBorders>
            <w:shd w:val="clear" w:color="000000" w:fill="203764"/>
            <w:noWrap/>
            <w:vAlign w:val="center"/>
            <w:hideMark/>
          </w:tcPr>
          <w:p w14:paraId="7A112512"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Scores intermédiaires</w:t>
            </w:r>
          </w:p>
        </w:tc>
      </w:tr>
      <w:tr w:rsidR="00F34B97" w:rsidRPr="004A6E37" w14:paraId="26120AEA" w14:textId="77777777" w:rsidTr="005F4953">
        <w:trPr>
          <w:trHeight w:val="330"/>
        </w:trPr>
        <w:tc>
          <w:tcPr>
            <w:tcW w:w="74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F383FF5" w14:textId="77777777" w:rsidR="00F34B97" w:rsidRPr="004A6E37" w:rsidRDefault="00F34B97"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Échelle</w:t>
            </w:r>
          </w:p>
        </w:tc>
        <w:tc>
          <w:tcPr>
            <w:tcW w:w="2188" w:type="dxa"/>
            <w:tcBorders>
              <w:top w:val="single" w:sz="4" w:space="0" w:color="auto"/>
              <w:left w:val="nil"/>
              <w:bottom w:val="single" w:sz="4" w:space="0" w:color="auto"/>
              <w:right w:val="single" w:sz="4" w:space="0" w:color="auto"/>
            </w:tcBorders>
            <w:shd w:val="clear" w:color="000000" w:fill="F2F2F2"/>
            <w:noWrap/>
            <w:vAlign w:val="center"/>
            <w:hideMark/>
          </w:tcPr>
          <w:p w14:paraId="0BFA8D79"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F34B97" w:rsidRPr="004A6E37" w14:paraId="2E48823D" w14:textId="77777777" w:rsidTr="005F4953">
        <w:trPr>
          <w:trHeight w:val="341"/>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1D397014" w14:textId="77777777" w:rsidR="00F34B97" w:rsidRPr="004A6E37" w:rsidRDefault="00F34B97"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Exposition au risque transfrontalière</w:t>
            </w:r>
          </w:p>
        </w:tc>
        <w:tc>
          <w:tcPr>
            <w:tcW w:w="2188" w:type="dxa"/>
            <w:tcBorders>
              <w:top w:val="nil"/>
              <w:left w:val="nil"/>
              <w:bottom w:val="single" w:sz="4" w:space="0" w:color="auto"/>
              <w:right w:val="single" w:sz="4" w:space="0" w:color="auto"/>
            </w:tcBorders>
            <w:shd w:val="clear" w:color="000000" w:fill="F2F2F2"/>
            <w:noWrap/>
            <w:vAlign w:val="center"/>
            <w:hideMark/>
          </w:tcPr>
          <w:p w14:paraId="3F8D642A"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F34B97" w:rsidRPr="004A6E37" w14:paraId="6A2C59D3" w14:textId="77777777" w:rsidTr="005F4953">
        <w:trPr>
          <w:trHeight w:val="414"/>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2EB935FA" w14:textId="77777777" w:rsidR="00F34B97" w:rsidRPr="004A6E37" w:rsidRDefault="00F34B97" w:rsidP="00F34B97">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Efficacité de la coopération internationale avec la juridiction étrangère</w:t>
            </w:r>
          </w:p>
        </w:tc>
        <w:tc>
          <w:tcPr>
            <w:tcW w:w="2188" w:type="dxa"/>
            <w:tcBorders>
              <w:top w:val="nil"/>
              <w:left w:val="nil"/>
              <w:bottom w:val="single" w:sz="4" w:space="0" w:color="auto"/>
              <w:right w:val="single" w:sz="4" w:space="0" w:color="auto"/>
            </w:tcBorders>
            <w:shd w:val="clear" w:color="000000" w:fill="F2F2F2"/>
            <w:noWrap/>
            <w:vAlign w:val="center"/>
            <w:hideMark/>
          </w:tcPr>
          <w:p w14:paraId="12588D2B"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F34B97" w:rsidRPr="004A6E37" w14:paraId="112BBE89" w14:textId="77777777" w:rsidTr="005F4953">
        <w:trPr>
          <w:trHeight w:val="404"/>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427EDE20" w14:textId="77777777" w:rsidR="00F34B97" w:rsidRPr="004A6E37" w:rsidRDefault="00F34B97"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Attractivité à utiliser dans votre juridiction</w:t>
            </w:r>
          </w:p>
        </w:tc>
        <w:tc>
          <w:tcPr>
            <w:tcW w:w="2188" w:type="dxa"/>
            <w:tcBorders>
              <w:top w:val="nil"/>
              <w:left w:val="nil"/>
              <w:bottom w:val="single" w:sz="4" w:space="0" w:color="auto"/>
              <w:right w:val="single" w:sz="4" w:space="0" w:color="auto"/>
            </w:tcBorders>
            <w:shd w:val="clear" w:color="000000" w:fill="F2F2F2"/>
            <w:noWrap/>
            <w:vAlign w:val="center"/>
            <w:hideMark/>
          </w:tcPr>
          <w:p w14:paraId="181C4FBD"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0,30</w:t>
            </w:r>
          </w:p>
        </w:tc>
      </w:tr>
      <w:tr w:rsidR="00F34B97" w:rsidRPr="004A6E37" w14:paraId="7DFABFE1" w14:textId="77777777" w:rsidTr="005F4953">
        <w:trPr>
          <w:trHeight w:val="394"/>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56393C13" w14:textId="77777777" w:rsidR="00F34B97" w:rsidRPr="004A6E37" w:rsidRDefault="00F34B97"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 de base</w:t>
            </w:r>
          </w:p>
        </w:tc>
        <w:tc>
          <w:tcPr>
            <w:tcW w:w="2188" w:type="dxa"/>
            <w:tcBorders>
              <w:top w:val="nil"/>
              <w:left w:val="nil"/>
              <w:bottom w:val="single" w:sz="4" w:space="0" w:color="auto"/>
              <w:right w:val="single" w:sz="4" w:space="0" w:color="auto"/>
            </w:tcBorders>
            <w:shd w:val="clear" w:color="000000" w:fill="F2F2F2"/>
            <w:noWrap/>
            <w:vAlign w:val="center"/>
            <w:hideMark/>
          </w:tcPr>
          <w:p w14:paraId="6CC2887B"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F34B97" w:rsidRPr="004A6E37" w14:paraId="108C77A9" w14:textId="77777777" w:rsidTr="005F4953">
        <w:trPr>
          <w:trHeight w:val="398"/>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17A01BD8" w14:textId="77777777" w:rsidR="00F34B97" w:rsidRPr="004A6E37" w:rsidRDefault="00F34B97" w:rsidP="00FF4F26">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 xml:space="preserve">Qualité et accessibilité des informations </w:t>
            </w:r>
            <w:r w:rsidR="005F4953" w:rsidRPr="004A6E37">
              <w:rPr>
                <w:rFonts w:ascii="Times New Roman" w:eastAsia="Times New Roman" w:hAnsi="Times New Roman" w:cs="Times New Roman"/>
                <w:szCs w:val="28"/>
                <w:lang w:eastAsia="fr-CA"/>
              </w:rPr>
              <w:t xml:space="preserve">du </w:t>
            </w:r>
            <w:r w:rsidR="00FF4F26" w:rsidRPr="004A6E37">
              <w:rPr>
                <w:rFonts w:ascii="Times New Roman" w:eastAsia="Times New Roman" w:hAnsi="Times New Roman" w:cs="Times New Roman"/>
                <w:szCs w:val="28"/>
                <w:lang w:eastAsia="fr-CA"/>
              </w:rPr>
              <w:t>bénéficiaire effectif</w:t>
            </w:r>
          </w:p>
        </w:tc>
        <w:tc>
          <w:tcPr>
            <w:tcW w:w="2188" w:type="dxa"/>
            <w:tcBorders>
              <w:top w:val="nil"/>
              <w:left w:val="nil"/>
              <w:bottom w:val="single" w:sz="4" w:space="0" w:color="auto"/>
              <w:right w:val="single" w:sz="4" w:space="0" w:color="auto"/>
            </w:tcBorders>
            <w:shd w:val="clear" w:color="000000" w:fill="F2F2F2"/>
            <w:noWrap/>
            <w:vAlign w:val="center"/>
            <w:hideMark/>
          </w:tcPr>
          <w:p w14:paraId="7458DFBE"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0,88</w:t>
            </w:r>
          </w:p>
        </w:tc>
      </w:tr>
      <w:tr w:rsidR="00F34B97" w:rsidRPr="004A6E37" w14:paraId="1924B04C" w14:textId="77777777" w:rsidTr="005F4953">
        <w:trPr>
          <w:trHeight w:val="515"/>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77D736C7" w14:textId="77777777" w:rsidR="00F34B97" w:rsidRPr="004A6E37" w:rsidRDefault="00F34B97"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Incidence dans les cas ML / TF analysés</w:t>
            </w:r>
          </w:p>
        </w:tc>
        <w:tc>
          <w:tcPr>
            <w:tcW w:w="2188" w:type="dxa"/>
            <w:tcBorders>
              <w:top w:val="nil"/>
              <w:left w:val="nil"/>
              <w:bottom w:val="single" w:sz="4" w:space="0" w:color="auto"/>
              <w:right w:val="single" w:sz="4" w:space="0" w:color="auto"/>
            </w:tcBorders>
            <w:shd w:val="clear" w:color="000000" w:fill="F2F2F2"/>
            <w:noWrap/>
            <w:vAlign w:val="center"/>
            <w:hideMark/>
          </w:tcPr>
          <w:p w14:paraId="165D6CD4"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F34B97" w:rsidRPr="004A6E37" w14:paraId="740FA6B4" w14:textId="77777777" w:rsidTr="005F4953">
        <w:trPr>
          <w:trHeight w:val="378"/>
        </w:trPr>
        <w:tc>
          <w:tcPr>
            <w:tcW w:w="7451" w:type="dxa"/>
            <w:tcBorders>
              <w:top w:val="nil"/>
              <w:left w:val="single" w:sz="4" w:space="0" w:color="auto"/>
              <w:bottom w:val="single" w:sz="4" w:space="0" w:color="auto"/>
              <w:right w:val="single" w:sz="4" w:space="0" w:color="auto"/>
            </w:tcBorders>
            <w:shd w:val="clear" w:color="000000" w:fill="D9E1F2"/>
            <w:vAlign w:val="center"/>
            <w:hideMark/>
          </w:tcPr>
          <w:p w14:paraId="2F8C1EB0" w14:textId="77777777" w:rsidR="00F34B97" w:rsidRPr="004A6E37" w:rsidRDefault="00F34B97" w:rsidP="006E70A8">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Existence de typologies ML / TF</w:t>
            </w:r>
          </w:p>
        </w:tc>
        <w:tc>
          <w:tcPr>
            <w:tcW w:w="2188" w:type="dxa"/>
            <w:tcBorders>
              <w:top w:val="nil"/>
              <w:left w:val="nil"/>
              <w:bottom w:val="single" w:sz="4" w:space="0" w:color="auto"/>
              <w:right w:val="single" w:sz="4" w:space="0" w:color="auto"/>
            </w:tcBorders>
            <w:shd w:val="clear" w:color="000000" w:fill="F2F2F2"/>
            <w:noWrap/>
            <w:vAlign w:val="center"/>
            <w:hideMark/>
          </w:tcPr>
          <w:p w14:paraId="2D821FEE"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F34B97" w:rsidRPr="004A6E37" w14:paraId="33FDDFC6" w14:textId="77777777" w:rsidTr="005F4953">
        <w:trPr>
          <w:trHeight w:val="514"/>
        </w:trPr>
        <w:tc>
          <w:tcPr>
            <w:tcW w:w="7451" w:type="dxa"/>
            <w:tcBorders>
              <w:top w:val="nil"/>
              <w:left w:val="single" w:sz="8" w:space="0" w:color="auto"/>
              <w:bottom w:val="single" w:sz="8" w:space="0" w:color="auto"/>
              <w:right w:val="single" w:sz="8" w:space="0" w:color="auto"/>
            </w:tcBorders>
            <w:shd w:val="clear" w:color="000000" w:fill="203764"/>
            <w:noWrap/>
            <w:vAlign w:val="center"/>
            <w:hideMark/>
          </w:tcPr>
          <w:p w14:paraId="177B3EE7" w14:textId="77777777" w:rsidR="00F34B97" w:rsidRPr="004A6E37" w:rsidRDefault="00851BC0"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 xml:space="preserve">Niveau global </w:t>
            </w:r>
          </w:p>
        </w:tc>
        <w:tc>
          <w:tcPr>
            <w:tcW w:w="2188" w:type="dxa"/>
            <w:tcBorders>
              <w:top w:val="nil"/>
              <w:left w:val="nil"/>
              <w:bottom w:val="nil"/>
              <w:right w:val="nil"/>
            </w:tcBorders>
            <w:shd w:val="clear" w:color="000000" w:fill="203764"/>
            <w:noWrap/>
            <w:vAlign w:val="center"/>
            <w:hideMark/>
          </w:tcPr>
          <w:p w14:paraId="6E28F2F7" w14:textId="77777777" w:rsidR="00F34B97" w:rsidRPr="004A6E37" w:rsidRDefault="00F34B97" w:rsidP="00F34B97">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0,69</w:t>
            </w:r>
          </w:p>
        </w:tc>
      </w:tr>
    </w:tbl>
    <w:p w14:paraId="2D7E7417" w14:textId="77777777" w:rsidR="005D7303" w:rsidRPr="004A6E37" w:rsidRDefault="005D7303" w:rsidP="00764F88">
      <w:pPr>
        <w:jc w:val="both"/>
        <w:rPr>
          <w:rFonts w:ascii="Times New Roman" w:eastAsia="Calibri" w:hAnsi="Times New Roman" w:cs="Times New Roman"/>
          <w:b/>
          <w:sz w:val="24"/>
          <w:szCs w:val="24"/>
        </w:rPr>
      </w:pPr>
    </w:p>
    <w:p w14:paraId="673862EE" w14:textId="77777777" w:rsidR="00334EF0" w:rsidRPr="004A6E37" w:rsidRDefault="00C90F63" w:rsidP="00764F88">
      <w:pPr>
        <w:jc w:val="both"/>
        <w:rPr>
          <w:rFonts w:ascii="Times New Roman" w:eastAsia="Calibri" w:hAnsi="Times New Roman" w:cs="Times New Roman"/>
          <w:b/>
          <w:sz w:val="24"/>
          <w:szCs w:val="24"/>
        </w:rPr>
      </w:pPr>
      <w:r w:rsidRPr="004A6E37">
        <w:rPr>
          <w:rFonts w:ascii="Times New Roman" w:eastAsia="Calibri" w:hAnsi="Times New Roman" w:cs="Times New Roman"/>
          <w:b/>
          <w:sz w:val="24"/>
          <w:szCs w:val="24"/>
        </w:rPr>
        <w:t>2.1.3. Risques</w:t>
      </w:r>
    </w:p>
    <w:p w14:paraId="793836B9" w14:textId="77777777" w:rsidR="00D10A17" w:rsidRPr="004A6E37" w:rsidRDefault="00704F4F" w:rsidP="00764F88">
      <w:pPr>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Le</w:t>
      </w:r>
      <w:r w:rsidR="00D10A17" w:rsidRPr="004A6E37">
        <w:rPr>
          <w:rFonts w:ascii="Times New Roman" w:eastAsia="Calibri" w:hAnsi="Times New Roman" w:cs="Times New Roman"/>
          <w:sz w:val="24"/>
          <w:szCs w:val="24"/>
        </w:rPr>
        <w:t xml:space="preserve"> niveau de</w:t>
      </w:r>
      <w:r w:rsidRPr="004A6E37">
        <w:rPr>
          <w:rFonts w:ascii="Times New Roman" w:eastAsia="Calibri" w:hAnsi="Times New Roman" w:cs="Times New Roman"/>
          <w:sz w:val="24"/>
          <w:szCs w:val="24"/>
        </w:rPr>
        <w:t xml:space="preserve"> risque</w:t>
      </w:r>
      <w:r w:rsidR="00D10A17" w:rsidRPr="004A6E37">
        <w:rPr>
          <w:rFonts w:ascii="Times New Roman" w:eastAsia="Calibri" w:hAnsi="Times New Roman" w:cs="Times New Roman"/>
          <w:sz w:val="24"/>
          <w:szCs w:val="24"/>
        </w:rPr>
        <w:t xml:space="preserve"> résulte de la combinaison de la menace et la vulnérabilité. Il est évalué par la feuille Excel (Sept3 Master). </w:t>
      </w:r>
    </w:p>
    <w:p w14:paraId="7C98577B" w14:textId="77777777" w:rsidR="00D10A17" w:rsidRPr="004A6E37" w:rsidRDefault="00D10A17" w:rsidP="00764F88">
      <w:pPr>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Le niveau de risque a été évalué à « moyen » voir graphique ci-dessous.  </w:t>
      </w:r>
    </w:p>
    <w:p w14:paraId="7B6108AF" w14:textId="77777777" w:rsidR="00334EF0" w:rsidRPr="004A6E37" w:rsidRDefault="00D10A17" w:rsidP="00764F88">
      <w:pPr>
        <w:jc w:val="both"/>
        <w:rPr>
          <w:rFonts w:ascii="Times New Roman" w:eastAsia="Calibri" w:hAnsi="Times New Roman" w:cs="Times New Roman"/>
          <w:sz w:val="24"/>
          <w:szCs w:val="24"/>
        </w:rPr>
      </w:pPr>
      <w:r w:rsidRPr="004A6E37">
        <w:rPr>
          <w:rFonts w:ascii="Times New Roman" w:eastAsia="Calibri" w:hAnsi="Times New Roman" w:cs="Times New Roman"/>
          <w:b/>
          <w:sz w:val="24"/>
          <w:szCs w:val="24"/>
        </w:rPr>
        <w:t xml:space="preserve"> </w:t>
      </w:r>
      <w:r w:rsidR="00334EF0" w:rsidRPr="004A6E37">
        <w:rPr>
          <w:rFonts w:ascii="Times New Roman" w:hAnsi="Times New Roman" w:cs="Times New Roman"/>
          <w:noProof/>
          <w:lang w:val="fr-CA" w:eastAsia="fr-CA"/>
        </w:rPr>
        <w:drawing>
          <wp:inline distT="0" distB="0" distL="0" distR="0" wp14:anchorId="57E4D746" wp14:editId="01237498">
            <wp:extent cx="5486400" cy="2436495"/>
            <wp:effectExtent l="0" t="0" r="19050" b="20955"/>
            <wp:docPr id="16" name="Graphique 16">
              <a:extLst xmlns:a="http://schemas.openxmlformats.org/drawingml/2006/main">
                <a:ext uri="{FF2B5EF4-FFF2-40B4-BE49-F238E27FC236}">
                  <a16:creationId xmlns:a16="http://schemas.microsoft.com/office/drawing/2014/main" id="{29D1813C-A0CC-48AE-B5CA-2BFBA6231E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971D48" w14:textId="77777777" w:rsidR="00764F88" w:rsidRPr="004A6E37" w:rsidRDefault="00764F88" w:rsidP="005134AF">
      <w:pPr>
        <w:pStyle w:val="En-tte"/>
        <w:jc w:val="both"/>
        <w:rPr>
          <w:rFonts w:ascii="Times New Roman" w:eastAsia="Times New Roman" w:hAnsi="Times New Roman" w:cs="Times New Roman"/>
          <w:b/>
          <w:sz w:val="20"/>
          <w:szCs w:val="20"/>
        </w:rPr>
      </w:pPr>
    </w:p>
    <w:p w14:paraId="444B28CD" w14:textId="77777777" w:rsidR="00342A33" w:rsidRPr="004A6E37" w:rsidRDefault="00342A33" w:rsidP="005134AF">
      <w:pPr>
        <w:pStyle w:val="En-tte"/>
        <w:jc w:val="both"/>
        <w:rPr>
          <w:rFonts w:ascii="Times New Roman" w:eastAsia="Times New Roman" w:hAnsi="Times New Roman" w:cs="Times New Roman"/>
          <w:b/>
          <w:sz w:val="20"/>
          <w:szCs w:val="20"/>
        </w:rPr>
      </w:pPr>
    </w:p>
    <w:p w14:paraId="12690B8E" w14:textId="77777777" w:rsidR="00342A33" w:rsidRPr="004A6E37" w:rsidRDefault="00342A33" w:rsidP="001F564C">
      <w:pPr>
        <w:pStyle w:val="En-tte"/>
        <w:spacing w:line="360" w:lineRule="auto"/>
        <w:jc w:val="both"/>
        <w:outlineLvl w:val="2"/>
        <w:rPr>
          <w:rFonts w:ascii="Times New Roman" w:eastAsia="Times New Roman" w:hAnsi="Times New Roman" w:cs="Times New Roman"/>
          <w:b/>
          <w:sz w:val="24"/>
          <w:szCs w:val="24"/>
        </w:rPr>
      </w:pPr>
      <w:bookmarkStart w:id="63" w:name="_Toc126251890"/>
      <w:r w:rsidRPr="004A6E37">
        <w:rPr>
          <w:rFonts w:ascii="Times New Roman" w:eastAsia="Times New Roman" w:hAnsi="Times New Roman" w:cs="Times New Roman"/>
          <w:b/>
          <w:sz w:val="24"/>
          <w:szCs w:val="24"/>
        </w:rPr>
        <w:t>2.2. SARL-assimilées</w:t>
      </w:r>
      <w:bookmarkEnd w:id="63"/>
    </w:p>
    <w:p w14:paraId="62ECFA36" w14:textId="77777777" w:rsidR="00EF6B2C" w:rsidRPr="004A6E37" w:rsidRDefault="00EF6B2C" w:rsidP="00515422">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2.2.1 Menaces</w:t>
      </w:r>
    </w:p>
    <w:p w14:paraId="3847C93A" w14:textId="77777777" w:rsidR="009D1C7F" w:rsidRPr="004A6E37" w:rsidRDefault="009D1C7F" w:rsidP="00515422">
      <w:pPr>
        <w:pStyle w:val="En-tte"/>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Toutes ces sociétés sont obligatoirement enregistrées sur le RCCM du greffe du tribunal de commerce. </w:t>
      </w:r>
    </w:p>
    <w:p w14:paraId="34FF8738" w14:textId="77777777" w:rsidR="009D1C7F" w:rsidRPr="004A6E37" w:rsidRDefault="009D1C7F" w:rsidP="00920BFE">
      <w:pPr>
        <w:pStyle w:val="En-tte"/>
        <w:numPr>
          <w:ilvl w:val="0"/>
          <w:numId w:val="19"/>
        </w:numPr>
        <w:spacing w:line="360" w:lineRule="auto"/>
        <w:ind w:left="709" w:hanging="425"/>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lastRenderedPageBreak/>
        <w:t>Le niveau de menace lié aux données des autorités chargées d’appliquer la loi est évalué 0,5</w:t>
      </w:r>
      <w:r w:rsidR="004B29B9" w:rsidRPr="004A6E37">
        <w:rPr>
          <w:rFonts w:ascii="Times New Roman" w:eastAsia="Times New Roman" w:hAnsi="Times New Roman" w:cs="Times New Roman"/>
          <w:sz w:val="24"/>
          <w:szCs w:val="24"/>
        </w:rPr>
        <w:t> </w:t>
      </w:r>
      <w:r w:rsidR="0000352C" w:rsidRPr="004A6E37">
        <w:rPr>
          <w:rFonts w:ascii="Times New Roman" w:eastAsia="Times New Roman" w:hAnsi="Times New Roman" w:cs="Times New Roman"/>
          <w:sz w:val="24"/>
          <w:szCs w:val="24"/>
        </w:rPr>
        <w:t>« moyen ».</w:t>
      </w:r>
    </w:p>
    <w:p w14:paraId="49F33E51" w14:textId="77777777" w:rsidR="009D1C7F" w:rsidRPr="004A6E37" w:rsidRDefault="004B29B9"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9D1C7F" w:rsidRPr="004A6E37">
        <w:rPr>
          <w:rFonts w:ascii="Times New Roman" w:eastAsia="Times New Roman" w:hAnsi="Times New Roman" w:cs="Times New Roman"/>
          <w:sz w:val="24"/>
          <w:szCs w:val="24"/>
        </w:rPr>
        <w:t>a CENTIF a reçu des DOS</w:t>
      </w:r>
      <w:r w:rsidR="00C4280E" w:rsidRPr="004A6E37">
        <w:rPr>
          <w:rFonts w:ascii="Times New Roman" w:eastAsia="Times New Roman" w:hAnsi="Times New Roman" w:cs="Times New Roman"/>
          <w:sz w:val="24"/>
          <w:szCs w:val="24"/>
        </w:rPr>
        <w:t> ;</w:t>
      </w:r>
    </w:p>
    <w:p w14:paraId="13AA9480" w14:textId="77777777" w:rsidR="009D1C7F" w:rsidRPr="004A6E37" w:rsidRDefault="004B29B9"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w:t>
      </w:r>
      <w:r w:rsidR="009D1C7F" w:rsidRPr="004A6E37">
        <w:rPr>
          <w:rFonts w:ascii="Times New Roman" w:eastAsia="Times New Roman" w:hAnsi="Times New Roman" w:cs="Times New Roman"/>
          <w:sz w:val="24"/>
          <w:szCs w:val="24"/>
        </w:rPr>
        <w:t>as de demande d’entraide judiciaire demandée et reçue</w:t>
      </w:r>
      <w:r w:rsidR="00C4280E" w:rsidRPr="004A6E37">
        <w:rPr>
          <w:rFonts w:ascii="Times New Roman" w:eastAsia="Times New Roman" w:hAnsi="Times New Roman" w:cs="Times New Roman"/>
          <w:sz w:val="24"/>
          <w:szCs w:val="24"/>
        </w:rPr>
        <w:t> ;</w:t>
      </w:r>
    </w:p>
    <w:p w14:paraId="120FBBA2" w14:textId="77777777" w:rsidR="009D1C7F" w:rsidRPr="004A6E37" w:rsidRDefault="004B29B9"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d</w:t>
      </w:r>
      <w:r w:rsidR="006742D2" w:rsidRPr="004A6E37">
        <w:rPr>
          <w:rFonts w:ascii="Times New Roman" w:eastAsia="Times New Roman" w:hAnsi="Times New Roman" w:cs="Times New Roman"/>
          <w:sz w:val="24"/>
          <w:szCs w:val="24"/>
        </w:rPr>
        <w:t>es</w:t>
      </w:r>
      <w:r w:rsidR="009D1C7F" w:rsidRPr="004A6E37">
        <w:rPr>
          <w:rFonts w:ascii="Times New Roman" w:eastAsia="Times New Roman" w:hAnsi="Times New Roman" w:cs="Times New Roman"/>
          <w:sz w:val="24"/>
          <w:szCs w:val="24"/>
        </w:rPr>
        <w:t xml:space="preserve"> cas sont en cours d’instruction au pôle judiciaire spécialisé</w:t>
      </w:r>
      <w:r w:rsidR="00C4280E" w:rsidRPr="004A6E37">
        <w:rPr>
          <w:rFonts w:ascii="Times New Roman" w:eastAsia="Times New Roman" w:hAnsi="Times New Roman" w:cs="Times New Roman"/>
          <w:sz w:val="24"/>
          <w:szCs w:val="24"/>
        </w:rPr>
        <w:t> ;</w:t>
      </w:r>
    </w:p>
    <w:p w14:paraId="009DF41F" w14:textId="77777777" w:rsidR="009D1C7F" w:rsidRPr="004A6E37" w:rsidRDefault="004B29B9"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w:t>
      </w:r>
      <w:r w:rsidR="00C4280E" w:rsidRPr="004A6E37">
        <w:rPr>
          <w:rFonts w:ascii="Times New Roman" w:eastAsia="Times New Roman" w:hAnsi="Times New Roman" w:cs="Times New Roman"/>
          <w:sz w:val="24"/>
          <w:szCs w:val="24"/>
        </w:rPr>
        <w:t>as de cas de condamnation.</w:t>
      </w:r>
    </w:p>
    <w:p w14:paraId="46AAFA91" w14:textId="77777777" w:rsidR="009D1C7F" w:rsidRPr="004A6E37" w:rsidRDefault="009D1C7F" w:rsidP="00515422">
      <w:pPr>
        <w:pStyle w:val="En-tte"/>
        <w:spacing w:line="360" w:lineRule="auto"/>
        <w:ind w:left="2160"/>
        <w:jc w:val="both"/>
        <w:rPr>
          <w:rFonts w:ascii="Times New Roman" w:eastAsia="Times New Roman" w:hAnsi="Times New Roman" w:cs="Times New Roman"/>
          <w:sz w:val="14"/>
          <w:szCs w:val="24"/>
        </w:rPr>
      </w:pPr>
    </w:p>
    <w:p w14:paraId="285B5416" w14:textId="77777777" w:rsidR="009D1C7F" w:rsidRPr="004A6E37" w:rsidRDefault="009D1C7F" w:rsidP="00920BFE">
      <w:pPr>
        <w:pStyle w:val="En-tte"/>
        <w:numPr>
          <w:ilvl w:val="0"/>
          <w:numId w:val="19"/>
        </w:numPr>
        <w:spacing w:line="360" w:lineRule="auto"/>
        <w:ind w:left="709" w:hanging="425"/>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Le niveau de risque basé sur les perceptions des menaces et des données</w:t>
      </w:r>
      <w:r w:rsidR="004B29B9" w:rsidRPr="004A6E37">
        <w:rPr>
          <w:rFonts w:ascii="Times New Roman" w:eastAsia="Times New Roman" w:hAnsi="Times New Roman" w:cs="Times New Roman"/>
          <w:sz w:val="24"/>
          <w:szCs w:val="24"/>
        </w:rPr>
        <w:t> :</w:t>
      </w:r>
    </w:p>
    <w:p w14:paraId="52B592E7" w14:textId="77777777" w:rsidR="009D1C7F" w:rsidRPr="004A6E37" w:rsidRDefault="00D70A43"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660230" w:rsidRPr="004A6E37">
        <w:rPr>
          <w:rFonts w:ascii="Times New Roman" w:eastAsia="Times New Roman" w:hAnsi="Times New Roman" w:cs="Times New Roman"/>
          <w:sz w:val="24"/>
          <w:szCs w:val="24"/>
        </w:rPr>
        <w:t xml:space="preserve">es cas </w:t>
      </w:r>
      <w:r w:rsidR="009D1C7F" w:rsidRPr="004A6E37">
        <w:rPr>
          <w:rFonts w:ascii="Times New Roman" w:eastAsia="Times New Roman" w:hAnsi="Times New Roman" w:cs="Times New Roman"/>
          <w:sz w:val="24"/>
          <w:szCs w:val="24"/>
        </w:rPr>
        <w:t>identifiés ne sont pas nombreux</w:t>
      </w:r>
      <w:r w:rsidR="00FF6D2D" w:rsidRPr="004A6E37">
        <w:rPr>
          <w:rFonts w:ascii="Times New Roman" w:eastAsia="Times New Roman" w:hAnsi="Times New Roman" w:cs="Times New Roman"/>
          <w:sz w:val="24"/>
          <w:szCs w:val="24"/>
        </w:rPr>
        <w:t> ;</w:t>
      </w:r>
      <w:r w:rsidR="009D1C7F" w:rsidRPr="004A6E37">
        <w:rPr>
          <w:rFonts w:ascii="Times New Roman" w:eastAsia="Times New Roman" w:hAnsi="Times New Roman" w:cs="Times New Roman"/>
          <w:sz w:val="24"/>
          <w:szCs w:val="24"/>
        </w:rPr>
        <w:t xml:space="preserve"> </w:t>
      </w:r>
    </w:p>
    <w:p w14:paraId="1AD189A1" w14:textId="77777777" w:rsidR="009D1C7F" w:rsidRPr="004A6E37" w:rsidRDefault="00D70A43"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9D1C7F" w:rsidRPr="004A6E37">
        <w:rPr>
          <w:rFonts w:ascii="Times New Roman" w:eastAsia="Times New Roman" w:hAnsi="Times New Roman" w:cs="Times New Roman"/>
          <w:sz w:val="24"/>
          <w:szCs w:val="24"/>
        </w:rPr>
        <w:t>es sondages recueillis auprès des acteurs du secteur public donnent un niveau de menace moyen</w:t>
      </w:r>
      <w:r w:rsidR="00FF6D2D" w:rsidRPr="004A6E37">
        <w:rPr>
          <w:rFonts w:ascii="Times New Roman" w:eastAsia="Times New Roman" w:hAnsi="Times New Roman" w:cs="Times New Roman"/>
          <w:sz w:val="24"/>
          <w:szCs w:val="24"/>
        </w:rPr>
        <w:t> ;</w:t>
      </w:r>
    </w:p>
    <w:p w14:paraId="73999391" w14:textId="77777777" w:rsidR="009D1C7F" w:rsidRPr="004A6E37" w:rsidRDefault="00D70A43" w:rsidP="00920BFE">
      <w:pPr>
        <w:pStyle w:val="En-tte"/>
        <w:numPr>
          <w:ilvl w:val="0"/>
          <w:numId w:val="33"/>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9D1C7F" w:rsidRPr="004A6E37">
        <w:rPr>
          <w:rFonts w:ascii="Times New Roman" w:eastAsia="Times New Roman" w:hAnsi="Times New Roman" w:cs="Times New Roman"/>
          <w:sz w:val="24"/>
          <w:szCs w:val="24"/>
        </w:rPr>
        <w:t>es informations recueillies auprès des acteurs du secteur privé d</w:t>
      </w:r>
      <w:r w:rsidR="00F576D3" w:rsidRPr="004A6E37">
        <w:rPr>
          <w:rFonts w:ascii="Times New Roman" w:eastAsia="Times New Roman" w:hAnsi="Times New Roman" w:cs="Times New Roman"/>
          <w:sz w:val="24"/>
          <w:szCs w:val="24"/>
        </w:rPr>
        <w:t>onnent un niveau de menace faible</w:t>
      </w:r>
      <w:r w:rsidR="007C4B3F" w:rsidRPr="004A6E37">
        <w:rPr>
          <w:rFonts w:ascii="Times New Roman" w:eastAsia="Times New Roman" w:hAnsi="Times New Roman" w:cs="Times New Roman"/>
          <w:sz w:val="24"/>
          <w:szCs w:val="24"/>
        </w:rPr>
        <w:t>.</w:t>
      </w:r>
      <w:r w:rsidR="009D1C7F" w:rsidRPr="004A6E37">
        <w:rPr>
          <w:rFonts w:ascii="Times New Roman" w:eastAsia="Times New Roman" w:hAnsi="Times New Roman" w:cs="Times New Roman"/>
          <w:sz w:val="24"/>
          <w:szCs w:val="24"/>
        </w:rPr>
        <w:t xml:space="preserve"> </w:t>
      </w:r>
    </w:p>
    <w:p w14:paraId="65BF16B6" w14:textId="77777777" w:rsidR="009D1C7F" w:rsidRPr="004A6E37" w:rsidRDefault="009D1C7F" w:rsidP="00515422">
      <w:pPr>
        <w:pStyle w:val="En-tte"/>
        <w:spacing w:line="360" w:lineRule="auto"/>
        <w:jc w:val="both"/>
        <w:rPr>
          <w:rFonts w:ascii="Times New Roman" w:eastAsia="Times New Roman" w:hAnsi="Times New Roman" w:cs="Times New Roman"/>
          <w:sz w:val="10"/>
          <w:szCs w:val="24"/>
        </w:rPr>
      </w:pPr>
    </w:p>
    <w:p w14:paraId="6ED739D4" w14:textId="77777777" w:rsidR="009D1C7F" w:rsidRPr="004A6E37" w:rsidRDefault="009D1C7F" w:rsidP="00515422">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CAS</w:t>
      </w:r>
      <w:r w:rsidR="007968AD" w:rsidRPr="004A6E37">
        <w:rPr>
          <w:rFonts w:ascii="Times New Roman" w:eastAsia="Times New Roman" w:hAnsi="Times New Roman" w:cs="Times New Roman"/>
          <w:b/>
          <w:sz w:val="24"/>
          <w:szCs w:val="24"/>
        </w:rPr>
        <w:t xml:space="preserve"> n°1</w:t>
      </w:r>
    </w:p>
    <w:p w14:paraId="51D26191"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 xml:space="preserve">La </w:t>
      </w:r>
      <w:r w:rsidR="008D7231" w:rsidRPr="004A6E37">
        <w:rPr>
          <w:rFonts w:ascii="Times New Roman" w:eastAsia="Times New Roman" w:hAnsi="Times New Roman" w:cs="Times New Roman"/>
          <w:sz w:val="24"/>
          <w:szCs w:val="24"/>
          <w:lang w:eastAsia="fr-FR" w:bidi="en-US"/>
        </w:rPr>
        <w:t>société minière et i</w:t>
      </w:r>
      <w:r w:rsidR="000B04F8" w:rsidRPr="004A6E37">
        <w:rPr>
          <w:rFonts w:ascii="Times New Roman" w:eastAsia="Times New Roman" w:hAnsi="Times New Roman" w:cs="Times New Roman"/>
          <w:sz w:val="24"/>
          <w:szCs w:val="24"/>
          <w:lang w:eastAsia="fr-FR" w:bidi="en-US"/>
        </w:rPr>
        <w:t>mmobilière MK</w:t>
      </w:r>
      <w:r w:rsidRPr="004A6E37">
        <w:rPr>
          <w:rFonts w:ascii="Times New Roman" w:eastAsia="Times New Roman" w:hAnsi="Times New Roman" w:cs="Times New Roman"/>
          <w:sz w:val="24"/>
          <w:szCs w:val="24"/>
          <w:lang w:eastAsia="fr-FR" w:bidi="en-US"/>
        </w:rPr>
        <w:t xml:space="preserve"> SARL, immatriculée au registre du commerce et du crédit mobilier (RCCM) depuis le 22 août 2013 sous le numéro MA.BKO.0000.B000, est titulaire de six (6) co</w:t>
      </w:r>
      <w:r w:rsidR="003A34FD" w:rsidRPr="004A6E37">
        <w:rPr>
          <w:rFonts w:ascii="Times New Roman" w:eastAsia="Times New Roman" w:hAnsi="Times New Roman" w:cs="Times New Roman"/>
          <w:sz w:val="24"/>
          <w:szCs w:val="24"/>
          <w:lang w:eastAsia="fr-FR" w:bidi="en-US"/>
        </w:rPr>
        <w:t xml:space="preserve">mptes ouverts dans les livres des </w:t>
      </w:r>
      <w:r w:rsidRPr="004A6E37">
        <w:rPr>
          <w:rFonts w:ascii="Times New Roman" w:eastAsia="Times New Roman" w:hAnsi="Times New Roman" w:cs="Times New Roman"/>
          <w:sz w:val="24"/>
          <w:szCs w:val="24"/>
          <w:lang w:eastAsia="fr-FR" w:bidi="en-US"/>
        </w:rPr>
        <w:t>institutions bancaires de la place.</w:t>
      </w:r>
    </w:p>
    <w:p w14:paraId="0EF5D2B8"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Le 11 mars 20</w:t>
      </w:r>
      <w:r w:rsidR="00E6479A" w:rsidRPr="004A6E37">
        <w:rPr>
          <w:rFonts w:ascii="Times New Roman" w:eastAsia="Times New Roman" w:hAnsi="Times New Roman" w:cs="Times New Roman"/>
          <w:sz w:val="24"/>
          <w:szCs w:val="24"/>
          <w:lang w:eastAsia="fr-FR" w:bidi="en-US"/>
        </w:rPr>
        <w:t xml:space="preserve">21, elle a reçu un virement de </w:t>
      </w:r>
      <w:r w:rsidRPr="004A6E37">
        <w:rPr>
          <w:rFonts w:ascii="Times New Roman" w:eastAsia="Times New Roman" w:hAnsi="Times New Roman" w:cs="Times New Roman"/>
          <w:sz w:val="24"/>
          <w:szCs w:val="24"/>
          <w:lang w:eastAsia="fr-FR" w:bidi="en-US"/>
        </w:rPr>
        <w:t xml:space="preserve">1 117 183 Euros soit </w:t>
      </w:r>
      <w:bookmarkStart w:id="64" w:name="_Hlk67997121"/>
      <w:r w:rsidR="00124139" w:rsidRPr="004A6E37">
        <w:rPr>
          <w:rFonts w:ascii="Times New Roman" w:eastAsia="Times New Roman" w:hAnsi="Times New Roman" w:cs="Times New Roman"/>
          <w:sz w:val="24"/>
          <w:szCs w:val="24"/>
          <w:lang w:eastAsia="fr-FR" w:bidi="en-US"/>
        </w:rPr>
        <w:t xml:space="preserve">732 725 616 </w:t>
      </w:r>
      <w:r w:rsidRPr="004A6E37">
        <w:rPr>
          <w:rFonts w:ascii="Times New Roman" w:eastAsia="Times New Roman" w:hAnsi="Times New Roman" w:cs="Times New Roman"/>
          <w:sz w:val="24"/>
          <w:szCs w:val="24"/>
          <w:lang w:eastAsia="fr-FR" w:bidi="en-US"/>
        </w:rPr>
        <w:t>FCFA</w:t>
      </w:r>
      <w:bookmarkEnd w:id="64"/>
      <w:r w:rsidRPr="004A6E37">
        <w:rPr>
          <w:rFonts w:ascii="Times New Roman" w:eastAsia="Times New Roman" w:hAnsi="Times New Roman" w:cs="Times New Roman"/>
          <w:sz w:val="24"/>
          <w:szCs w:val="24"/>
          <w:lang w:eastAsia="fr-FR" w:bidi="en-US"/>
        </w:rPr>
        <w:t xml:space="preserve"> en provenance </w:t>
      </w:r>
      <w:r w:rsidR="00935294" w:rsidRPr="004A6E37">
        <w:rPr>
          <w:rFonts w:ascii="Times New Roman" w:eastAsia="Times New Roman" w:hAnsi="Times New Roman" w:cs="Times New Roman"/>
          <w:sz w:val="24"/>
          <w:szCs w:val="24"/>
          <w:lang w:eastAsia="fr-FR" w:bidi="en-US"/>
        </w:rPr>
        <w:t>d’une société minière « T</w:t>
      </w:r>
      <w:r w:rsidRPr="004A6E37">
        <w:rPr>
          <w:rFonts w:ascii="Times New Roman" w:eastAsia="Times New Roman" w:hAnsi="Times New Roman" w:cs="Times New Roman"/>
          <w:sz w:val="24"/>
          <w:szCs w:val="24"/>
          <w:lang w:eastAsia="fr-FR" w:bidi="en-US"/>
        </w:rPr>
        <w:t>M</w:t>
      </w:r>
      <w:r w:rsidR="003D2D83" w:rsidRPr="004A6E37">
        <w:rPr>
          <w:rFonts w:ascii="Times New Roman" w:eastAsia="Times New Roman" w:hAnsi="Times New Roman" w:cs="Times New Roman"/>
          <w:sz w:val="24"/>
          <w:szCs w:val="24"/>
          <w:lang w:eastAsia="fr-FR" w:bidi="en-US"/>
        </w:rPr>
        <w:t>T</w:t>
      </w:r>
      <w:r w:rsidRPr="004A6E37">
        <w:rPr>
          <w:rFonts w:ascii="Times New Roman" w:eastAsia="Times New Roman" w:hAnsi="Times New Roman" w:cs="Times New Roman"/>
          <w:sz w:val="24"/>
          <w:szCs w:val="24"/>
          <w:lang w:eastAsia="fr-FR" w:bidi="en-US"/>
        </w:rPr>
        <w:t xml:space="preserve"> » sise à Azerbaïdj</w:t>
      </w:r>
      <w:r w:rsidR="0008306D" w:rsidRPr="004A6E37">
        <w:rPr>
          <w:rFonts w:ascii="Times New Roman" w:eastAsia="Times New Roman" w:hAnsi="Times New Roman" w:cs="Times New Roman"/>
          <w:sz w:val="24"/>
          <w:szCs w:val="24"/>
          <w:lang w:eastAsia="fr-FR" w:bidi="en-US"/>
        </w:rPr>
        <w:t xml:space="preserve">an, sur le compte courant n°001 </w:t>
      </w:r>
      <w:r w:rsidRPr="004A6E37">
        <w:rPr>
          <w:rFonts w:ascii="Times New Roman" w:eastAsia="Times New Roman" w:hAnsi="Times New Roman" w:cs="Times New Roman"/>
          <w:sz w:val="24"/>
          <w:szCs w:val="24"/>
          <w:lang w:eastAsia="fr-FR" w:bidi="en-US"/>
        </w:rPr>
        <w:t xml:space="preserve">ouvert en son nom dans les livres d’une banque de la place. </w:t>
      </w:r>
    </w:p>
    <w:p w14:paraId="07A1848F"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Ce virement est d’autant plus suspect qu’aucune opération n’avait été enregistrée sur ce compte depuis son ouverture en avril 2015.</w:t>
      </w:r>
    </w:p>
    <w:p w14:paraId="5A671FC4"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 xml:space="preserve">La facture n°000/03/21 du 10 mars 2021 relative au virement du 11 mars 2021 fait état de la vente par la société basée au Mali, MK SARL, à la société basée en Azerbaïdjan « TMT » de 30 lingots d’or </w:t>
      </w:r>
      <w:r w:rsidR="00CE290F" w:rsidRPr="004A6E37">
        <w:rPr>
          <w:rFonts w:ascii="Times New Roman" w:eastAsia="Times New Roman" w:hAnsi="Times New Roman" w:cs="Times New Roman"/>
          <w:sz w:val="24"/>
          <w:szCs w:val="24"/>
          <w:lang w:eastAsia="fr-FR" w:bidi="en-US"/>
        </w:rPr>
        <w:t xml:space="preserve">de </w:t>
      </w:r>
      <w:r w:rsidRPr="004A6E37">
        <w:rPr>
          <w:rFonts w:ascii="Times New Roman" w:eastAsia="Times New Roman" w:hAnsi="Times New Roman" w:cs="Times New Roman"/>
          <w:sz w:val="24"/>
          <w:szCs w:val="24"/>
          <w:lang w:eastAsia="fr-FR" w:bidi="en-US"/>
        </w:rPr>
        <w:t>24 carats de 1 kilogramme chacun avec une pureté de 99,99%.</w:t>
      </w:r>
    </w:p>
    <w:p w14:paraId="413A766C"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 xml:space="preserve">Les investigations ont révélé que la société MK SARL ne dispose pas d’agrément pour l’achat et l’exportation d’or et les autres substances précieuses ou fossiles et qu’elle ne figure pas sur la liste des comptoirs d’achat du Mali </w:t>
      </w:r>
    </w:p>
    <w:p w14:paraId="7ADDED5D" w14:textId="77777777" w:rsidR="007968AD" w:rsidRPr="004A6E37" w:rsidRDefault="00601F92"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MK</w:t>
      </w:r>
      <w:r w:rsidR="007968AD" w:rsidRPr="004A6E37">
        <w:rPr>
          <w:rFonts w:ascii="Times New Roman" w:eastAsia="Times New Roman" w:hAnsi="Times New Roman" w:cs="Times New Roman"/>
          <w:sz w:val="24"/>
          <w:szCs w:val="24"/>
          <w:lang w:eastAsia="fr-FR" w:bidi="en-US"/>
        </w:rPr>
        <w:t xml:space="preserve"> SARL est une société dont les actionnaires étaient tous mineurs au moment de sa constitution. Les associés mineurs sont représentés par le cabinet d’Avocats BB dont la fondatrice est AK qui est leur mère selon les statuts de la société, agissant en qualité de représentant légale. Ceci laisse </w:t>
      </w:r>
      <w:r w:rsidR="007968AD" w:rsidRPr="004A6E37">
        <w:rPr>
          <w:rFonts w:ascii="Times New Roman" w:eastAsia="Times New Roman" w:hAnsi="Times New Roman" w:cs="Times New Roman"/>
          <w:sz w:val="24"/>
          <w:szCs w:val="24"/>
          <w:lang w:eastAsia="fr-FR" w:bidi="en-US"/>
        </w:rPr>
        <w:lastRenderedPageBreak/>
        <w:t xml:space="preserve">paraître que </w:t>
      </w:r>
      <w:r w:rsidR="0007386F" w:rsidRPr="004A6E37">
        <w:rPr>
          <w:rFonts w:ascii="Times New Roman" w:eastAsia="Times New Roman" w:hAnsi="Times New Roman" w:cs="Times New Roman"/>
          <w:sz w:val="24"/>
          <w:szCs w:val="24"/>
          <w:lang w:eastAsia="fr-FR" w:bidi="en-US"/>
        </w:rPr>
        <w:t>« </w:t>
      </w:r>
      <w:r w:rsidR="007968AD" w:rsidRPr="004A6E37">
        <w:rPr>
          <w:rFonts w:ascii="Times New Roman" w:eastAsia="Times New Roman" w:hAnsi="Times New Roman" w:cs="Times New Roman"/>
          <w:sz w:val="24"/>
          <w:szCs w:val="24"/>
          <w:lang w:eastAsia="fr-FR" w:bidi="en-US"/>
        </w:rPr>
        <w:t>AK</w:t>
      </w:r>
      <w:r w:rsidR="0007386F" w:rsidRPr="004A6E37">
        <w:rPr>
          <w:rFonts w:ascii="Times New Roman" w:eastAsia="Times New Roman" w:hAnsi="Times New Roman" w:cs="Times New Roman"/>
          <w:sz w:val="24"/>
          <w:szCs w:val="24"/>
          <w:lang w:eastAsia="fr-FR" w:bidi="en-US"/>
        </w:rPr>
        <w:t> »</w:t>
      </w:r>
      <w:r w:rsidR="007968AD" w:rsidRPr="004A6E37" w:rsidDel="00872CDF">
        <w:rPr>
          <w:rFonts w:ascii="Times New Roman" w:eastAsia="Times New Roman" w:hAnsi="Times New Roman" w:cs="Times New Roman"/>
          <w:sz w:val="24"/>
          <w:szCs w:val="24"/>
          <w:lang w:eastAsia="fr-FR" w:bidi="en-US"/>
        </w:rPr>
        <w:t xml:space="preserve"> </w:t>
      </w:r>
      <w:r w:rsidR="007968AD" w:rsidRPr="004A6E37">
        <w:rPr>
          <w:rFonts w:ascii="Times New Roman" w:eastAsia="Times New Roman" w:hAnsi="Times New Roman" w:cs="Times New Roman"/>
          <w:sz w:val="24"/>
          <w:szCs w:val="24"/>
          <w:lang w:eastAsia="fr-FR" w:bidi="en-US"/>
        </w:rPr>
        <w:t xml:space="preserve">est la bénéficiaire effective des activités de la société MK SARL surtout qu’elle est également signataire sur tous les comptes bancaires de ladite société. </w:t>
      </w:r>
    </w:p>
    <w:p w14:paraId="2EE80AB6"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bCs/>
          <w:sz w:val="24"/>
          <w:szCs w:val="24"/>
          <w:lang w:eastAsia="fr-FR" w:bidi="en-US"/>
        </w:rPr>
        <w:t>Les recherches sur la liste des contribuables actifs disponible</w:t>
      </w:r>
      <w:r w:rsidR="00C33315" w:rsidRPr="004A6E37">
        <w:rPr>
          <w:rFonts w:ascii="Times New Roman" w:eastAsia="Times New Roman" w:hAnsi="Times New Roman" w:cs="Times New Roman"/>
          <w:bCs/>
          <w:sz w:val="24"/>
          <w:szCs w:val="24"/>
          <w:lang w:eastAsia="fr-FR" w:bidi="en-US"/>
        </w:rPr>
        <w:t>s</w:t>
      </w:r>
      <w:r w:rsidRPr="004A6E37">
        <w:rPr>
          <w:rFonts w:ascii="Times New Roman" w:eastAsia="Times New Roman" w:hAnsi="Times New Roman" w:cs="Times New Roman"/>
          <w:bCs/>
          <w:sz w:val="24"/>
          <w:szCs w:val="24"/>
          <w:lang w:eastAsia="fr-FR" w:bidi="en-US"/>
        </w:rPr>
        <w:t xml:space="preserve"> sur le site internet de la Direction Générale des Impôts n’ont pas permis d’identifier le numéro d’identification fiscale (NIF) 000000A de la société MK SARL à la date du 11 mars 2021</w:t>
      </w:r>
      <w:r w:rsidRPr="004A6E37">
        <w:rPr>
          <w:rFonts w:ascii="Times New Roman" w:eastAsia="Times New Roman" w:hAnsi="Times New Roman" w:cs="Times New Roman"/>
          <w:sz w:val="24"/>
          <w:szCs w:val="24"/>
          <w:lang w:eastAsia="fr-FR" w:bidi="en-US"/>
        </w:rPr>
        <w:t>. Ceci prouve que les droits dus à l’Etat lors de la vente d’or n’avaient pas été perçus et que la société n’avait, selon toute vraisemblance, jamais effectué de déclaration de chiffres d’affaires.</w:t>
      </w:r>
    </w:p>
    <w:p w14:paraId="16EFC0C3"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Aussi, les flux financiers enregistrés sur l’ensemble des comptes bancaires ouverts au nom de la société MK SARL de leur ouverture à la date du 10 mars 2021, soit un jour avant la réception du montant issu de la vente d’or, ne permettent pas de justifier la possession de 30 kilogrammes d’or par la société MK SARL. Ces flux s’élevaient à quatre-vingt-huit millions trois cent quinze mille (88 315 000) FCFA au crédit contre quatre-vingt-huit millions cinq cent deux mille sept cent cinquante-six (88 502 756) FCFA au débit pour un solde total débiteur de cent quatre-vingt-sept mille sept cent cinquante-six (187 756) FCFA.</w:t>
      </w:r>
    </w:p>
    <w:p w14:paraId="06C2A7C0"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Il ne saurait être exclu que les 30 lingots d’or aient d’abord été acqu</w:t>
      </w:r>
      <w:r w:rsidR="00576ED1" w:rsidRPr="004A6E37">
        <w:rPr>
          <w:rFonts w:ascii="Times New Roman" w:eastAsia="Times New Roman" w:hAnsi="Times New Roman" w:cs="Times New Roman"/>
          <w:sz w:val="24"/>
          <w:szCs w:val="24"/>
          <w:lang w:eastAsia="fr-FR" w:bidi="en-US"/>
        </w:rPr>
        <w:t>is avec des capitaux d’origine illicite</w:t>
      </w:r>
      <w:r w:rsidRPr="004A6E37">
        <w:rPr>
          <w:rFonts w:ascii="Times New Roman" w:eastAsia="Times New Roman" w:hAnsi="Times New Roman" w:cs="Times New Roman"/>
          <w:sz w:val="24"/>
          <w:szCs w:val="24"/>
          <w:lang w:eastAsia="fr-FR" w:bidi="en-US"/>
        </w:rPr>
        <w:t xml:space="preserve"> </w:t>
      </w:r>
      <w:r w:rsidR="00576ED1" w:rsidRPr="004A6E37">
        <w:rPr>
          <w:rFonts w:ascii="Times New Roman" w:eastAsia="Times New Roman" w:hAnsi="Times New Roman" w:cs="Times New Roman"/>
          <w:sz w:val="24"/>
          <w:szCs w:val="24"/>
          <w:lang w:eastAsia="fr-FR" w:bidi="en-US"/>
        </w:rPr>
        <w:t xml:space="preserve">et </w:t>
      </w:r>
      <w:r w:rsidRPr="004A6E37">
        <w:rPr>
          <w:rFonts w:ascii="Times New Roman" w:eastAsia="Times New Roman" w:hAnsi="Times New Roman" w:cs="Times New Roman"/>
          <w:sz w:val="24"/>
          <w:szCs w:val="24"/>
          <w:lang w:eastAsia="fr-FR" w:bidi="en-US"/>
        </w:rPr>
        <w:t xml:space="preserve">non issus de l’activité de MK SARL, puis </w:t>
      </w:r>
      <w:r w:rsidR="00B145BA" w:rsidRPr="004A6E37">
        <w:rPr>
          <w:rFonts w:ascii="Times New Roman" w:eastAsia="Times New Roman" w:hAnsi="Times New Roman" w:cs="Times New Roman"/>
          <w:sz w:val="24"/>
          <w:szCs w:val="24"/>
          <w:lang w:eastAsia="fr-FR" w:bidi="en-US"/>
        </w:rPr>
        <w:t xml:space="preserve">sont </w:t>
      </w:r>
      <w:r w:rsidRPr="004A6E37">
        <w:rPr>
          <w:rFonts w:ascii="Times New Roman" w:eastAsia="Times New Roman" w:hAnsi="Times New Roman" w:cs="Times New Roman"/>
          <w:sz w:val="24"/>
          <w:szCs w:val="24"/>
          <w:lang w:eastAsia="fr-FR" w:bidi="en-US"/>
        </w:rPr>
        <w:t>vendus en vue de les introduire dans le circuit financier et ainsi rentrer dans le processus de blanchiment de capitaux.</w:t>
      </w:r>
    </w:p>
    <w:p w14:paraId="74AA18FC" w14:textId="77777777" w:rsidR="007968AD" w:rsidRPr="004A6E37" w:rsidRDefault="007968AD" w:rsidP="00515422">
      <w:pPr>
        <w:spacing w:line="360" w:lineRule="auto"/>
        <w:jc w:val="both"/>
        <w:rPr>
          <w:rFonts w:ascii="Times New Roman" w:eastAsia="Times New Roman" w:hAnsi="Times New Roman" w:cs="Times New Roman"/>
          <w:sz w:val="24"/>
          <w:szCs w:val="24"/>
          <w:lang w:eastAsia="fr-FR"/>
        </w:rPr>
      </w:pPr>
      <w:r w:rsidRPr="004A6E37">
        <w:rPr>
          <w:rFonts w:ascii="Times New Roman" w:eastAsia="Times New Roman" w:hAnsi="Times New Roman" w:cs="Times New Roman"/>
          <w:sz w:val="24"/>
          <w:szCs w:val="24"/>
          <w:lang w:eastAsia="fr-FR"/>
        </w:rPr>
        <w:t>De ce qui précède, apparaissent des soupçons sérieux de blanchiment de capitaux à travers l’infraction fiscale ainsi que la dissimulation de l’origine des fonds ayant permis à la société MK SARL  d’acquérir puis de vendre les lingots d’or à une société basée en Azerbaïdjan.</w:t>
      </w:r>
    </w:p>
    <w:p w14:paraId="3C8D6A24" w14:textId="77777777" w:rsidR="007968AD" w:rsidRPr="004A6E37" w:rsidRDefault="007968AD" w:rsidP="00515422">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 xml:space="preserve">Cas n°2 </w:t>
      </w:r>
    </w:p>
    <w:p w14:paraId="182DC4D1" w14:textId="77777777" w:rsidR="007968AD" w:rsidRPr="004A6E37" w:rsidRDefault="007968AD" w:rsidP="00515422">
      <w:pPr>
        <w:widowControl w:val="0"/>
        <w:suppressAutoHyphens/>
        <w:spacing w:after="120" w:line="360" w:lineRule="auto"/>
        <w:jc w:val="both"/>
        <w:rPr>
          <w:rFonts w:ascii="Times New Roman" w:eastAsia="Arial Unicode MS" w:hAnsi="Times New Roman" w:cs="Times New Roman"/>
          <w:sz w:val="24"/>
          <w:szCs w:val="24"/>
          <w:lang w:eastAsia="fr-FR" w:bidi="en-US"/>
        </w:rPr>
      </w:pPr>
      <w:r w:rsidRPr="004A6E37">
        <w:rPr>
          <w:rFonts w:ascii="Times New Roman" w:eastAsia="Arial Unicode MS" w:hAnsi="Times New Roman" w:cs="Times New Roman"/>
          <w:sz w:val="24"/>
          <w:szCs w:val="24"/>
          <w:lang w:eastAsia="fr-FR" w:bidi="en-US"/>
        </w:rPr>
        <w:t>La SBTP,</w:t>
      </w:r>
      <w:r w:rsidRPr="004A6E37">
        <w:rPr>
          <w:rFonts w:ascii="Times New Roman" w:eastAsia="Arial Unicode MS" w:hAnsi="Times New Roman" w:cs="Times New Roman"/>
          <w:b/>
          <w:sz w:val="24"/>
          <w:szCs w:val="24"/>
          <w:lang w:eastAsia="fr-FR" w:bidi="en-US"/>
        </w:rPr>
        <w:t xml:space="preserve"> </w:t>
      </w:r>
      <w:r w:rsidRPr="004A6E37">
        <w:rPr>
          <w:rFonts w:ascii="Times New Roman" w:eastAsia="Arial Unicode MS" w:hAnsi="Times New Roman" w:cs="Times New Roman"/>
          <w:sz w:val="24"/>
          <w:szCs w:val="24"/>
          <w:lang w:eastAsia="fr-FR" w:bidi="en-US"/>
        </w:rPr>
        <w:t>spécialisée dans le commerce général, l’importation et l’exportation a enregistré sur son compte bancai</w:t>
      </w:r>
      <w:r w:rsidR="0022643E" w:rsidRPr="004A6E37">
        <w:rPr>
          <w:rFonts w:ascii="Times New Roman" w:eastAsia="Arial Unicode MS" w:hAnsi="Times New Roman" w:cs="Times New Roman"/>
          <w:sz w:val="24"/>
          <w:szCs w:val="24"/>
          <w:lang w:eastAsia="fr-FR" w:bidi="en-US"/>
        </w:rPr>
        <w:t>re un flux financier inhabituel</w:t>
      </w:r>
      <w:r w:rsidRPr="004A6E37">
        <w:rPr>
          <w:rFonts w:ascii="Times New Roman" w:eastAsia="Arial Unicode MS" w:hAnsi="Times New Roman" w:cs="Times New Roman"/>
          <w:sz w:val="24"/>
          <w:szCs w:val="24"/>
          <w:lang w:eastAsia="fr-FR" w:bidi="en-US"/>
        </w:rPr>
        <w:t xml:space="preserve"> de </w:t>
      </w:r>
      <w:r w:rsidRPr="004A6E37">
        <w:rPr>
          <w:rFonts w:ascii="Times New Roman" w:eastAsia="Arial Unicode MS" w:hAnsi="Times New Roman" w:cs="Times New Roman"/>
          <w:sz w:val="24"/>
          <w:szCs w:val="24"/>
          <w:lang w:eastAsia="fr-FR"/>
        </w:rPr>
        <w:t xml:space="preserve">299 880 000 </w:t>
      </w:r>
      <w:r w:rsidRPr="004A6E37">
        <w:rPr>
          <w:rFonts w:ascii="Times New Roman" w:eastAsia="Arial Unicode MS" w:hAnsi="Times New Roman" w:cs="Times New Roman"/>
          <w:sz w:val="24"/>
          <w:szCs w:val="24"/>
          <w:lang w:eastAsia="fr-FR" w:bidi="en-US"/>
        </w:rPr>
        <w:t>FCFA le 13/11/ 2021. Ledit transfert fut effectué par la société «  SM SARL ».</w:t>
      </w:r>
    </w:p>
    <w:p w14:paraId="2EE44252" w14:textId="77777777" w:rsidR="007968AD" w:rsidRPr="004A6E37" w:rsidRDefault="007968AD" w:rsidP="00515422">
      <w:pPr>
        <w:widowControl w:val="0"/>
        <w:suppressAutoHyphens/>
        <w:spacing w:after="120" w:line="360" w:lineRule="auto"/>
        <w:jc w:val="both"/>
        <w:rPr>
          <w:rFonts w:ascii="Times New Roman" w:eastAsia="Arial Unicode MS" w:hAnsi="Times New Roman" w:cs="Times New Roman"/>
          <w:sz w:val="24"/>
          <w:szCs w:val="24"/>
          <w:lang w:eastAsia="fr-FR" w:bidi="en-US"/>
        </w:rPr>
      </w:pPr>
      <w:r w:rsidRPr="004A6E37">
        <w:rPr>
          <w:rFonts w:ascii="Times New Roman" w:eastAsia="Arial Unicode MS" w:hAnsi="Times New Roman" w:cs="Times New Roman"/>
          <w:bCs/>
          <w:sz w:val="24"/>
          <w:szCs w:val="24"/>
          <w:lang w:eastAsia="fr-FR" w:bidi="en-US"/>
        </w:rPr>
        <w:t>En deux</w:t>
      </w:r>
      <w:r w:rsidR="00657FE5" w:rsidRPr="004A6E37">
        <w:rPr>
          <w:rFonts w:ascii="Times New Roman" w:eastAsia="Arial Unicode MS" w:hAnsi="Times New Roman" w:cs="Times New Roman"/>
          <w:bCs/>
          <w:sz w:val="24"/>
          <w:szCs w:val="24"/>
          <w:lang w:eastAsia="fr-FR" w:bidi="en-US"/>
        </w:rPr>
        <w:t xml:space="preserve"> (02) années d’activités, ladite</w:t>
      </w:r>
      <w:r w:rsidRPr="004A6E37">
        <w:rPr>
          <w:rFonts w:ascii="Times New Roman" w:eastAsia="Arial Unicode MS" w:hAnsi="Times New Roman" w:cs="Times New Roman"/>
          <w:bCs/>
          <w:sz w:val="24"/>
          <w:szCs w:val="24"/>
          <w:lang w:eastAsia="fr-FR" w:bidi="en-US"/>
        </w:rPr>
        <w:t xml:space="preserve"> société n’a jamais reçu un montant aussi élevé, de surcroit en une seule opération. Quelques jours après le virement atypique des 299 880 000 FCFA du 13/11/2021, Monsieur Y, administrateur de la SBTP a procédé à des retraits de 60 000 000 FCFA le 21/11/2021 sur le compte de ladite société au profit de ses comptes personnels. Le même jour</w:t>
      </w:r>
      <w:r w:rsidR="00B77F94" w:rsidRPr="004A6E37">
        <w:rPr>
          <w:rFonts w:ascii="Times New Roman" w:eastAsia="Arial Unicode MS" w:hAnsi="Times New Roman" w:cs="Times New Roman"/>
          <w:bCs/>
          <w:sz w:val="24"/>
          <w:szCs w:val="24"/>
          <w:lang w:eastAsia="fr-FR" w:bidi="en-US"/>
        </w:rPr>
        <w:t>,</w:t>
      </w:r>
      <w:r w:rsidRPr="004A6E37">
        <w:rPr>
          <w:rFonts w:ascii="Times New Roman" w:eastAsia="Arial Unicode MS" w:hAnsi="Times New Roman" w:cs="Times New Roman"/>
          <w:bCs/>
          <w:sz w:val="24"/>
          <w:szCs w:val="24"/>
          <w:lang w:eastAsia="fr-FR" w:bidi="en-US"/>
        </w:rPr>
        <w:t xml:space="preserve"> il a versé respectivement 30 000 000 FCFA dans ses comptes n° 01 et 02 domiciliés dans les écr</w:t>
      </w:r>
      <w:r w:rsidR="001C2C87" w:rsidRPr="004A6E37">
        <w:rPr>
          <w:rFonts w:ascii="Times New Roman" w:eastAsia="Arial Unicode MS" w:hAnsi="Times New Roman" w:cs="Times New Roman"/>
          <w:bCs/>
          <w:sz w:val="24"/>
          <w:szCs w:val="24"/>
          <w:lang w:eastAsia="fr-FR" w:bidi="en-US"/>
        </w:rPr>
        <w:t>itures de la même banque que la</w:t>
      </w:r>
      <w:r w:rsidRPr="004A6E37">
        <w:rPr>
          <w:rFonts w:ascii="Times New Roman" w:eastAsia="Arial Unicode MS" w:hAnsi="Times New Roman" w:cs="Times New Roman"/>
          <w:bCs/>
          <w:sz w:val="24"/>
          <w:szCs w:val="24"/>
          <w:lang w:eastAsia="fr-FR" w:bidi="en-US"/>
        </w:rPr>
        <w:t xml:space="preserve"> SBTP. Par ailleurs, il est  constaté que le compte de ladite société enregistre d’importantes entrées en liquide non justifiées par des documents probants.</w:t>
      </w:r>
    </w:p>
    <w:p w14:paraId="05D106B4" w14:textId="77777777" w:rsidR="007968AD" w:rsidRPr="004A6E37" w:rsidRDefault="007968AD" w:rsidP="00515422">
      <w:pPr>
        <w:widowControl w:val="0"/>
        <w:suppressAutoHyphens/>
        <w:spacing w:after="120" w:line="360" w:lineRule="auto"/>
        <w:jc w:val="both"/>
        <w:rPr>
          <w:rFonts w:ascii="Times New Roman" w:eastAsia="Arial Unicode MS" w:hAnsi="Times New Roman" w:cs="Times New Roman"/>
          <w:bCs/>
          <w:sz w:val="24"/>
          <w:szCs w:val="24"/>
          <w:lang w:eastAsia="fr-FR" w:bidi="en-US"/>
        </w:rPr>
      </w:pPr>
      <w:r w:rsidRPr="004A6E37">
        <w:rPr>
          <w:rFonts w:ascii="Times New Roman" w:eastAsia="Arial Unicode MS" w:hAnsi="Times New Roman" w:cs="Times New Roman"/>
          <w:bCs/>
          <w:sz w:val="24"/>
          <w:szCs w:val="24"/>
          <w:lang w:eastAsia="fr-FR" w:bidi="en-US"/>
        </w:rPr>
        <w:lastRenderedPageBreak/>
        <w:t xml:space="preserve">Il ressort des échanges d’informations </w:t>
      </w:r>
      <w:r w:rsidR="003274EE" w:rsidRPr="004A6E37">
        <w:rPr>
          <w:rFonts w:ascii="Times New Roman" w:eastAsia="Arial Unicode MS" w:hAnsi="Times New Roman" w:cs="Times New Roman"/>
          <w:bCs/>
          <w:sz w:val="24"/>
          <w:szCs w:val="24"/>
          <w:lang w:eastAsia="fr-FR" w:bidi="en-US"/>
        </w:rPr>
        <w:t>avec</w:t>
      </w:r>
      <w:r w:rsidRPr="004A6E37">
        <w:rPr>
          <w:rFonts w:ascii="Times New Roman" w:eastAsia="Arial Unicode MS" w:hAnsi="Times New Roman" w:cs="Times New Roman"/>
          <w:bCs/>
          <w:sz w:val="24"/>
          <w:szCs w:val="24"/>
          <w:lang w:eastAsia="fr-FR" w:bidi="en-US"/>
        </w:rPr>
        <w:t xml:space="preserve"> </w:t>
      </w:r>
      <w:r w:rsidR="00126E0F" w:rsidRPr="004A6E37">
        <w:rPr>
          <w:rFonts w:ascii="Times New Roman" w:eastAsia="Arial Unicode MS" w:hAnsi="Times New Roman" w:cs="Times New Roman"/>
          <w:bCs/>
          <w:sz w:val="24"/>
          <w:szCs w:val="24"/>
          <w:lang w:eastAsia="fr-FR" w:bidi="en-US"/>
        </w:rPr>
        <w:t>la</w:t>
      </w:r>
      <w:r w:rsidR="00561319" w:rsidRPr="004A6E37">
        <w:rPr>
          <w:rFonts w:ascii="Times New Roman" w:eastAsia="Arial Unicode MS" w:hAnsi="Times New Roman" w:cs="Times New Roman"/>
          <w:bCs/>
          <w:sz w:val="24"/>
          <w:szCs w:val="24"/>
          <w:lang w:eastAsia="fr-FR" w:bidi="en-US"/>
        </w:rPr>
        <w:t xml:space="preserve"> Direction Générale des I</w:t>
      </w:r>
      <w:r w:rsidR="00126E0F" w:rsidRPr="004A6E37">
        <w:rPr>
          <w:rFonts w:ascii="Times New Roman" w:eastAsia="Arial Unicode MS" w:hAnsi="Times New Roman" w:cs="Times New Roman"/>
          <w:bCs/>
          <w:sz w:val="24"/>
          <w:szCs w:val="24"/>
          <w:lang w:eastAsia="fr-FR" w:bidi="en-US"/>
        </w:rPr>
        <w:t xml:space="preserve">mpôts, la  Direction Générale des Douanes </w:t>
      </w:r>
      <w:r w:rsidR="00937722" w:rsidRPr="004A6E37">
        <w:rPr>
          <w:rFonts w:ascii="Times New Roman" w:eastAsia="Arial Unicode MS" w:hAnsi="Times New Roman" w:cs="Times New Roman"/>
          <w:bCs/>
          <w:sz w:val="24"/>
          <w:szCs w:val="24"/>
          <w:lang w:eastAsia="fr-FR" w:bidi="en-US"/>
        </w:rPr>
        <w:t xml:space="preserve">et </w:t>
      </w:r>
      <w:r w:rsidRPr="004A6E37">
        <w:rPr>
          <w:rFonts w:ascii="Times New Roman" w:eastAsia="Arial Unicode MS" w:hAnsi="Times New Roman" w:cs="Times New Roman"/>
          <w:bCs/>
          <w:sz w:val="24"/>
          <w:szCs w:val="24"/>
          <w:lang w:eastAsia="fr-FR" w:bidi="en-US"/>
        </w:rPr>
        <w:t>la Direction Générale du Commerce de la Con</w:t>
      </w:r>
      <w:r w:rsidR="001C2C87" w:rsidRPr="004A6E37">
        <w:rPr>
          <w:rFonts w:ascii="Times New Roman" w:eastAsia="Arial Unicode MS" w:hAnsi="Times New Roman" w:cs="Times New Roman"/>
          <w:bCs/>
          <w:sz w:val="24"/>
          <w:szCs w:val="24"/>
          <w:lang w:eastAsia="fr-FR" w:bidi="en-US"/>
        </w:rPr>
        <w:t>sommation et de la Concurrence</w:t>
      </w:r>
      <w:r w:rsidR="0013731E" w:rsidRPr="004A6E37">
        <w:rPr>
          <w:rFonts w:ascii="Times New Roman" w:eastAsia="Arial Unicode MS" w:hAnsi="Times New Roman" w:cs="Times New Roman"/>
          <w:bCs/>
          <w:sz w:val="24"/>
          <w:szCs w:val="24"/>
          <w:lang w:eastAsia="fr-FR" w:bidi="en-US"/>
        </w:rPr>
        <w:t xml:space="preserve"> </w:t>
      </w:r>
      <w:r w:rsidRPr="004A6E37">
        <w:rPr>
          <w:rFonts w:ascii="Times New Roman" w:eastAsia="Arial Unicode MS" w:hAnsi="Times New Roman" w:cs="Times New Roman"/>
          <w:bCs/>
          <w:sz w:val="24"/>
          <w:szCs w:val="24"/>
          <w:lang w:eastAsia="fr-FR" w:bidi="en-US"/>
        </w:rPr>
        <w:t>que la SBTP</w:t>
      </w:r>
      <w:r w:rsidR="008A5529" w:rsidRPr="004A6E37">
        <w:rPr>
          <w:rFonts w:ascii="Times New Roman" w:eastAsia="Arial Unicode MS" w:hAnsi="Times New Roman" w:cs="Times New Roman"/>
          <w:bCs/>
          <w:sz w:val="24"/>
          <w:szCs w:val="24"/>
          <w:lang w:eastAsia="fr-FR" w:bidi="en-US"/>
        </w:rPr>
        <w:t xml:space="preserve"> n’est</w:t>
      </w:r>
      <w:r w:rsidRPr="004A6E37">
        <w:rPr>
          <w:rFonts w:ascii="Times New Roman" w:eastAsia="Arial Unicode MS" w:hAnsi="Times New Roman" w:cs="Times New Roman"/>
          <w:bCs/>
          <w:sz w:val="24"/>
          <w:szCs w:val="24"/>
          <w:lang w:eastAsia="fr-FR" w:bidi="en-US"/>
        </w:rPr>
        <w:t xml:space="preserve"> connue ni des Impôts</w:t>
      </w:r>
      <w:r w:rsidR="008A5529" w:rsidRPr="004A6E37">
        <w:rPr>
          <w:rFonts w:ascii="Times New Roman" w:eastAsia="Arial Unicode MS" w:hAnsi="Times New Roman" w:cs="Times New Roman"/>
          <w:bCs/>
          <w:sz w:val="24"/>
          <w:szCs w:val="24"/>
          <w:lang w:eastAsia="fr-FR" w:bidi="en-US"/>
        </w:rPr>
        <w:t>,</w:t>
      </w:r>
      <w:r w:rsidRPr="004A6E37">
        <w:rPr>
          <w:rFonts w:ascii="Times New Roman" w:eastAsia="Arial Unicode MS" w:hAnsi="Times New Roman" w:cs="Times New Roman"/>
          <w:bCs/>
          <w:sz w:val="24"/>
          <w:szCs w:val="24"/>
          <w:lang w:eastAsia="fr-FR" w:bidi="en-US"/>
        </w:rPr>
        <w:t xml:space="preserve"> ni de la Douane encor</w:t>
      </w:r>
      <w:r w:rsidR="00937722" w:rsidRPr="004A6E37">
        <w:rPr>
          <w:rFonts w:ascii="Times New Roman" w:eastAsia="Arial Unicode MS" w:hAnsi="Times New Roman" w:cs="Times New Roman"/>
          <w:bCs/>
          <w:sz w:val="24"/>
          <w:szCs w:val="24"/>
          <w:lang w:eastAsia="fr-FR" w:bidi="en-US"/>
        </w:rPr>
        <w:t>e moins de la Direction chargée du</w:t>
      </w:r>
      <w:r w:rsidRPr="004A6E37">
        <w:rPr>
          <w:rFonts w:ascii="Times New Roman" w:eastAsia="Arial Unicode MS" w:hAnsi="Times New Roman" w:cs="Times New Roman"/>
          <w:bCs/>
          <w:sz w:val="24"/>
          <w:szCs w:val="24"/>
          <w:lang w:eastAsia="fr-FR" w:bidi="en-US"/>
        </w:rPr>
        <w:t xml:space="preserve"> Commerce et ne dispose pas d’agrément d’exportation et de vente d’or sur le territoire malien.</w:t>
      </w:r>
    </w:p>
    <w:p w14:paraId="3EFAE2BC" w14:textId="77777777" w:rsidR="007968AD" w:rsidRPr="004A6E37" w:rsidRDefault="007968AD" w:rsidP="00515422">
      <w:pPr>
        <w:widowControl w:val="0"/>
        <w:suppressAutoHyphens/>
        <w:spacing w:after="120" w:line="360" w:lineRule="auto"/>
        <w:jc w:val="both"/>
        <w:rPr>
          <w:rFonts w:ascii="Times New Roman" w:eastAsia="Arial Unicode MS" w:hAnsi="Times New Roman" w:cs="Times New Roman"/>
          <w:bCs/>
          <w:sz w:val="24"/>
          <w:szCs w:val="24"/>
          <w:lang w:eastAsia="fr-FR" w:bidi="en-US"/>
        </w:rPr>
      </w:pPr>
      <w:r w:rsidRPr="004A6E37">
        <w:rPr>
          <w:rFonts w:ascii="Times New Roman" w:eastAsia="Arial Unicode MS" w:hAnsi="Times New Roman" w:cs="Times New Roman"/>
          <w:bCs/>
          <w:sz w:val="24"/>
          <w:szCs w:val="24"/>
          <w:lang w:eastAsia="fr-FR" w:bidi="en-US"/>
        </w:rPr>
        <w:t>Les investigations menées en vue de localiser la SBTP se sont révélées vaines car ladite société ne se trouve pas à l’adresse indiquée.</w:t>
      </w:r>
    </w:p>
    <w:p w14:paraId="39D91ABE" w14:textId="77777777" w:rsidR="007968AD" w:rsidRPr="004A6E37" w:rsidRDefault="007968AD" w:rsidP="00515422">
      <w:pPr>
        <w:widowControl w:val="0"/>
        <w:suppressAutoHyphens/>
        <w:spacing w:after="120" w:line="360" w:lineRule="auto"/>
        <w:jc w:val="both"/>
        <w:rPr>
          <w:rFonts w:ascii="Times New Roman" w:eastAsia="Arial Unicode MS" w:hAnsi="Times New Roman" w:cs="Times New Roman"/>
          <w:bCs/>
          <w:sz w:val="24"/>
          <w:szCs w:val="24"/>
          <w:lang w:eastAsia="fr-FR" w:bidi="en-US"/>
        </w:rPr>
      </w:pPr>
      <w:r w:rsidRPr="004A6E37">
        <w:rPr>
          <w:rFonts w:ascii="Times New Roman" w:eastAsia="Arial Unicode MS" w:hAnsi="Times New Roman" w:cs="Times New Roman"/>
          <w:bCs/>
          <w:sz w:val="24"/>
          <w:szCs w:val="24"/>
          <w:lang w:eastAsia="fr-FR" w:bidi="en-US"/>
        </w:rPr>
        <w:t>S’agissant de la société  SM SARL, on ignore la véritable structure sociale. Son siège est domicilié à l’étude de Me GD, notaire qui</w:t>
      </w:r>
      <w:r w:rsidR="006B12B7" w:rsidRPr="004A6E37">
        <w:rPr>
          <w:rFonts w:ascii="Times New Roman" w:eastAsia="Arial Unicode MS" w:hAnsi="Times New Roman" w:cs="Times New Roman"/>
          <w:bCs/>
          <w:sz w:val="24"/>
          <w:szCs w:val="24"/>
          <w:lang w:eastAsia="fr-FR" w:bidi="en-US"/>
        </w:rPr>
        <w:t xml:space="preserve"> a établi l’acte de création de</w:t>
      </w:r>
      <w:r w:rsidRPr="004A6E37">
        <w:rPr>
          <w:rFonts w:ascii="Times New Roman" w:eastAsia="Arial Unicode MS" w:hAnsi="Times New Roman" w:cs="Times New Roman"/>
          <w:bCs/>
          <w:sz w:val="24"/>
          <w:szCs w:val="24"/>
          <w:lang w:eastAsia="fr-FR" w:bidi="en-US"/>
        </w:rPr>
        <w:t xml:space="preserve"> SM SARL.  </w:t>
      </w:r>
    </w:p>
    <w:p w14:paraId="58E3B9B2" w14:textId="77777777" w:rsidR="007968AD" w:rsidRPr="004A6E37" w:rsidRDefault="007968AD" w:rsidP="00515422">
      <w:pPr>
        <w:widowControl w:val="0"/>
        <w:suppressAutoHyphens/>
        <w:spacing w:after="120" w:line="360" w:lineRule="auto"/>
        <w:jc w:val="both"/>
        <w:rPr>
          <w:rFonts w:ascii="Times New Roman" w:eastAsia="Arial Unicode MS" w:hAnsi="Times New Roman" w:cs="Times New Roman"/>
          <w:bCs/>
          <w:sz w:val="24"/>
          <w:szCs w:val="24"/>
          <w:lang w:eastAsia="fr-FR" w:bidi="en-US"/>
        </w:rPr>
      </w:pPr>
      <w:r w:rsidRPr="004A6E37">
        <w:rPr>
          <w:rFonts w:ascii="Times New Roman" w:eastAsia="Times New Roman" w:hAnsi="Times New Roman" w:cs="Times New Roman"/>
          <w:bCs/>
          <w:sz w:val="24"/>
          <w:szCs w:val="24"/>
          <w:lang w:eastAsia="fr-FR" w:bidi="en-US"/>
        </w:rPr>
        <w:t xml:space="preserve">Ces manœuvres semblent avoir pour objectif de brouiller les pistes de l’origine et de la destination des fonds transférés. Les techniques d’utilisation </w:t>
      </w:r>
      <w:r w:rsidR="00B64F42" w:rsidRPr="004A6E37">
        <w:rPr>
          <w:rFonts w:ascii="Times New Roman" w:eastAsia="Times New Roman" w:hAnsi="Times New Roman" w:cs="Times New Roman"/>
          <w:bCs/>
          <w:sz w:val="24"/>
          <w:szCs w:val="24"/>
          <w:lang w:eastAsia="fr-FR" w:bidi="en-US"/>
        </w:rPr>
        <w:t>du</w:t>
      </w:r>
      <w:r w:rsidR="006B12B7" w:rsidRPr="004A6E37">
        <w:rPr>
          <w:rFonts w:ascii="Times New Roman" w:eastAsia="Times New Roman" w:hAnsi="Times New Roman" w:cs="Times New Roman"/>
          <w:bCs/>
          <w:sz w:val="24"/>
          <w:szCs w:val="24"/>
          <w:lang w:eastAsia="fr-FR" w:bidi="en-US"/>
        </w:rPr>
        <w:t xml:space="preserve"> système b</w:t>
      </w:r>
      <w:r w:rsidRPr="004A6E37">
        <w:rPr>
          <w:rFonts w:ascii="Times New Roman" w:eastAsia="Times New Roman" w:hAnsi="Times New Roman" w:cs="Times New Roman"/>
          <w:bCs/>
          <w:sz w:val="24"/>
          <w:szCs w:val="24"/>
          <w:lang w:eastAsia="fr-FR" w:bidi="en-US"/>
        </w:rPr>
        <w:t>ancaire (placement), de dissimulation de  l’origine et la destination des fonds conduisent à</w:t>
      </w:r>
      <w:r w:rsidR="007F3CA9" w:rsidRPr="004A6E37">
        <w:rPr>
          <w:rFonts w:ascii="Times New Roman" w:eastAsia="Times New Roman" w:hAnsi="Times New Roman" w:cs="Times New Roman"/>
          <w:bCs/>
          <w:sz w:val="24"/>
          <w:szCs w:val="24"/>
          <w:lang w:eastAsia="fr-FR" w:bidi="en-US"/>
        </w:rPr>
        <w:t xml:space="preserve"> des soupçons de b</w:t>
      </w:r>
      <w:r w:rsidRPr="004A6E37">
        <w:rPr>
          <w:rFonts w:ascii="Times New Roman" w:eastAsia="Times New Roman" w:hAnsi="Times New Roman" w:cs="Times New Roman"/>
          <w:bCs/>
          <w:sz w:val="24"/>
          <w:szCs w:val="24"/>
          <w:lang w:eastAsia="fr-FR" w:bidi="en-US"/>
        </w:rPr>
        <w:t xml:space="preserve">lanchiment de </w:t>
      </w:r>
      <w:r w:rsidR="007F3CA9" w:rsidRPr="004A6E37">
        <w:rPr>
          <w:rFonts w:ascii="Times New Roman" w:eastAsia="Times New Roman" w:hAnsi="Times New Roman" w:cs="Times New Roman"/>
          <w:bCs/>
          <w:sz w:val="24"/>
          <w:szCs w:val="24"/>
          <w:lang w:eastAsia="fr-FR" w:bidi="en-US"/>
        </w:rPr>
        <w:t>c</w:t>
      </w:r>
      <w:r w:rsidRPr="004A6E37">
        <w:rPr>
          <w:rFonts w:ascii="Times New Roman" w:eastAsia="Times New Roman" w:hAnsi="Times New Roman" w:cs="Times New Roman"/>
          <w:bCs/>
          <w:sz w:val="24"/>
          <w:szCs w:val="24"/>
          <w:lang w:eastAsia="fr-FR" w:bidi="en-US"/>
        </w:rPr>
        <w:t xml:space="preserve">apitaux liés à la fraude fiscale. </w:t>
      </w:r>
      <w:r w:rsidRPr="004A6E37">
        <w:rPr>
          <w:rFonts w:ascii="Times New Roman" w:eastAsia="Times New Roman" w:hAnsi="Times New Roman" w:cs="Times New Roman"/>
          <w:sz w:val="24"/>
          <w:szCs w:val="24"/>
          <w:lang w:eastAsia="fr-FR" w:bidi="en-US"/>
        </w:rPr>
        <w:t xml:space="preserve">Les faits de l’espèce mettent en </w:t>
      </w:r>
      <w:r w:rsidR="004A7C33" w:rsidRPr="004A6E37">
        <w:rPr>
          <w:rFonts w:ascii="Times New Roman" w:eastAsia="Times New Roman" w:hAnsi="Times New Roman" w:cs="Times New Roman"/>
          <w:sz w:val="24"/>
          <w:szCs w:val="24"/>
          <w:lang w:eastAsia="fr-FR" w:bidi="en-US"/>
        </w:rPr>
        <w:t>avant</w:t>
      </w:r>
      <w:r w:rsidRPr="004A6E37">
        <w:rPr>
          <w:rFonts w:ascii="Times New Roman" w:eastAsia="Times New Roman" w:hAnsi="Times New Roman" w:cs="Times New Roman"/>
          <w:sz w:val="24"/>
          <w:szCs w:val="24"/>
          <w:lang w:eastAsia="fr-FR" w:bidi="en-US"/>
        </w:rPr>
        <w:t xml:space="preserve"> l’infraction fiscale (liés aux impôts directs et indirects) art 1</w:t>
      </w:r>
      <w:r w:rsidRPr="004A6E37">
        <w:rPr>
          <w:rFonts w:ascii="Times New Roman" w:eastAsia="Times New Roman" w:hAnsi="Times New Roman" w:cs="Times New Roman"/>
          <w:sz w:val="24"/>
          <w:szCs w:val="24"/>
          <w:vertAlign w:val="superscript"/>
          <w:lang w:eastAsia="fr-FR" w:bidi="en-US"/>
        </w:rPr>
        <w:t>er</w:t>
      </w:r>
      <w:r w:rsidR="00A5635F" w:rsidRPr="004A6E37">
        <w:rPr>
          <w:rFonts w:ascii="Times New Roman" w:eastAsia="Times New Roman" w:hAnsi="Times New Roman" w:cs="Times New Roman"/>
          <w:sz w:val="24"/>
          <w:szCs w:val="24"/>
          <w:lang w:eastAsia="fr-FR" w:bidi="en-US"/>
        </w:rPr>
        <w:t xml:space="preserve"> point 16 de</w:t>
      </w:r>
      <w:r w:rsidR="00A5635F" w:rsidRPr="004A6E37">
        <w:rPr>
          <w:rFonts w:ascii="Times New Roman" w:hAnsi="Times New Roman" w:cs="Times New Roman"/>
          <w:sz w:val="24"/>
          <w:szCs w:val="24"/>
          <w:shd w:val="clear" w:color="auto" w:fill="FFFFFF"/>
        </w:rPr>
        <w:t xml:space="preserve"> la Loi n° 2016-008 du 17 mars 2016 portant loi uniforme relative à la lutte contre le blanchiment de capitaux et le financement du terrorisme (LBC/FT)</w:t>
      </w:r>
      <w:r w:rsidR="00D75C0E" w:rsidRPr="004A6E37">
        <w:rPr>
          <w:rFonts w:ascii="Times New Roman" w:eastAsia="Times New Roman" w:hAnsi="Times New Roman" w:cs="Times New Roman"/>
          <w:sz w:val="24"/>
          <w:szCs w:val="24"/>
          <w:lang w:eastAsia="fr-FR" w:bidi="en-US"/>
        </w:rPr>
        <w:t>.</w:t>
      </w:r>
    </w:p>
    <w:p w14:paraId="3357D73A" w14:textId="77777777" w:rsidR="009D1C7F" w:rsidRPr="004A6E37" w:rsidRDefault="009D1C7F" w:rsidP="00515422">
      <w:pPr>
        <w:pStyle w:val="En-tte"/>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b/>
          <w:sz w:val="24"/>
          <w:szCs w:val="24"/>
        </w:rPr>
        <w:t xml:space="preserve">2.2.2. </w:t>
      </w:r>
      <w:r w:rsidRPr="004A6E37">
        <w:rPr>
          <w:rFonts w:ascii="Times New Roman" w:eastAsia="Times New Roman" w:hAnsi="Times New Roman" w:cs="Times New Roman"/>
          <w:sz w:val="24"/>
          <w:szCs w:val="24"/>
        </w:rPr>
        <w:t>Vulnérabilités</w:t>
      </w:r>
    </w:p>
    <w:p w14:paraId="4BE8A5AF" w14:textId="77777777" w:rsidR="009D1C7F" w:rsidRPr="004A6E37" w:rsidRDefault="00613A48" w:rsidP="00515422">
      <w:pPr>
        <w:spacing w:line="360" w:lineRule="auto"/>
        <w:jc w:val="both"/>
        <w:rPr>
          <w:rFonts w:ascii="Times New Roman" w:eastAsia="Calibri" w:hAnsi="Times New Roman" w:cs="Times New Roman"/>
          <w:b/>
          <w:sz w:val="24"/>
          <w:szCs w:val="24"/>
        </w:rPr>
      </w:pPr>
      <w:r w:rsidRPr="004A6E37">
        <w:rPr>
          <w:rFonts w:ascii="Times New Roman" w:eastAsia="Calibri" w:hAnsi="Times New Roman" w:cs="Times New Roman"/>
          <w:sz w:val="24"/>
          <w:szCs w:val="24"/>
        </w:rPr>
        <w:t>L’évaluation de la vulnérabilité a été faite par celle des variables de l’outil</w:t>
      </w:r>
      <w:r w:rsidRPr="004A6E37">
        <w:rPr>
          <w:rFonts w:ascii="Times New Roman" w:eastAsia="Calibri" w:hAnsi="Times New Roman" w:cs="Times New Roman"/>
          <w:b/>
          <w:sz w:val="24"/>
          <w:szCs w:val="24"/>
        </w:rPr>
        <w:t>.</w:t>
      </w:r>
      <w:r w:rsidR="00DB0B6F" w:rsidRPr="004A6E37">
        <w:rPr>
          <w:rFonts w:ascii="Times New Roman" w:eastAsia="Calibri" w:hAnsi="Times New Roman" w:cs="Times New Roman"/>
          <w:b/>
          <w:sz w:val="24"/>
          <w:szCs w:val="24"/>
        </w:rPr>
        <w:t xml:space="preserve"> </w:t>
      </w:r>
      <w:r w:rsidRPr="004A6E37">
        <w:rPr>
          <w:rFonts w:ascii="Times New Roman" w:eastAsia="Calibri" w:hAnsi="Times New Roman" w:cs="Times New Roman"/>
          <w:sz w:val="24"/>
          <w:szCs w:val="24"/>
        </w:rPr>
        <w:t>L’évaluation des valeurs intermédiaires des SARL nationales a donné les résultats consignés dans le tableau ci-dessous.</w:t>
      </w:r>
    </w:p>
    <w:tbl>
      <w:tblPr>
        <w:tblW w:w="5000" w:type="pct"/>
        <w:tblCellMar>
          <w:left w:w="70" w:type="dxa"/>
          <w:right w:w="70" w:type="dxa"/>
        </w:tblCellMar>
        <w:tblLook w:val="04A0" w:firstRow="1" w:lastRow="0" w:firstColumn="1" w:lastColumn="0" w:noHBand="0" w:noVBand="1"/>
      </w:tblPr>
      <w:tblGrid>
        <w:gridCol w:w="6643"/>
        <w:gridCol w:w="2834"/>
      </w:tblGrid>
      <w:tr w:rsidR="000331AC" w:rsidRPr="004A6E37" w14:paraId="347C908B" w14:textId="77777777" w:rsidTr="00A875CA">
        <w:trPr>
          <w:trHeight w:val="569"/>
        </w:trPr>
        <w:tc>
          <w:tcPr>
            <w:tcW w:w="3505" w:type="pct"/>
            <w:tcBorders>
              <w:top w:val="nil"/>
              <w:left w:val="single" w:sz="8" w:space="0" w:color="auto"/>
              <w:bottom w:val="nil"/>
              <w:right w:val="single" w:sz="8" w:space="0" w:color="auto"/>
            </w:tcBorders>
            <w:shd w:val="clear" w:color="000000" w:fill="203764"/>
            <w:noWrap/>
            <w:vAlign w:val="center"/>
            <w:hideMark/>
          </w:tcPr>
          <w:p w14:paraId="37290DB5"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Variables intermédiaires</w:t>
            </w:r>
          </w:p>
        </w:tc>
        <w:tc>
          <w:tcPr>
            <w:tcW w:w="1495" w:type="pct"/>
            <w:tcBorders>
              <w:top w:val="nil"/>
              <w:left w:val="nil"/>
              <w:bottom w:val="nil"/>
              <w:right w:val="single" w:sz="8" w:space="0" w:color="auto"/>
            </w:tcBorders>
            <w:shd w:val="clear" w:color="000000" w:fill="203764"/>
            <w:noWrap/>
            <w:vAlign w:val="center"/>
            <w:hideMark/>
          </w:tcPr>
          <w:p w14:paraId="3CFF9825"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Scores intermédiaires</w:t>
            </w:r>
          </w:p>
        </w:tc>
      </w:tr>
      <w:tr w:rsidR="000331AC" w:rsidRPr="004A6E37" w14:paraId="09274B8A" w14:textId="77777777" w:rsidTr="00A875CA">
        <w:trPr>
          <w:trHeight w:val="284"/>
        </w:trPr>
        <w:tc>
          <w:tcPr>
            <w:tcW w:w="3505"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29C1FAD1"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Échelle</w:t>
            </w:r>
          </w:p>
        </w:tc>
        <w:tc>
          <w:tcPr>
            <w:tcW w:w="1495" w:type="pct"/>
            <w:tcBorders>
              <w:top w:val="single" w:sz="4" w:space="0" w:color="auto"/>
              <w:left w:val="nil"/>
              <w:bottom w:val="single" w:sz="4" w:space="0" w:color="auto"/>
              <w:right w:val="single" w:sz="4" w:space="0" w:color="auto"/>
            </w:tcBorders>
            <w:shd w:val="clear" w:color="000000" w:fill="F2F2F2"/>
            <w:noWrap/>
            <w:vAlign w:val="center"/>
            <w:hideMark/>
          </w:tcPr>
          <w:p w14:paraId="11BFE0FF"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0,70</w:t>
            </w:r>
          </w:p>
        </w:tc>
      </w:tr>
      <w:tr w:rsidR="000331AC" w:rsidRPr="004A6E37" w14:paraId="66694A04" w14:textId="77777777" w:rsidTr="00A875CA">
        <w:trPr>
          <w:trHeight w:val="360"/>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4389A9C0"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Exposition au risque transfrontalière</w:t>
            </w:r>
          </w:p>
        </w:tc>
        <w:tc>
          <w:tcPr>
            <w:tcW w:w="1495" w:type="pct"/>
            <w:tcBorders>
              <w:top w:val="nil"/>
              <w:left w:val="nil"/>
              <w:bottom w:val="single" w:sz="4" w:space="0" w:color="auto"/>
              <w:right w:val="single" w:sz="4" w:space="0" w:color="auto"/>
            </w:tcBorders>
            <w:shd w:val="clear" w:color="000000" w:fill="F2F2F2"/>
            <w:noWrap/>
            <w:vAlign w:val="center"/>
            <w:hideMark/>
          </w:tcPr>
          <w:p w14:paraId="13420292"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0,66</w:t>
            </w:r>
          </w:p>
        </w:tc>
      </w:tr>
      <w:tr w:rsidR="000331AC" w:rsidRPr="004A6E37" w14:paraId="3C7C1816" w14:textId="77777777" w:rsidTr="00A875CA">
        <w:trPr>
          <w:trHeight w:val="553"/>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70497762"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Facilité, vitesse et coûts de formation / enregistrement</w:t>
            </w:r>
          </w:p>
        </w:tc>
        <w:tc>
          <w:tcPr>
            <w:tcW w:w="1495" w:type="pct"/>
            <w:tcBorders>
              <w:top w:val="nil"/>
              <w:left w:val="nil"/>
              <w:bottom w:val="single" w:sz="4" w:space="0" w:color="auto"/>
              <w:right w:val="single" w:sz="4" w:space="0" w:color="auto"/>
            </w:tcBorders>
            <w:shd w:val="clear" w:color="000000" w:fill="F2F2F2"/>
            <w:noWrap/>
            <w:vAlign w:val="center"/>
            <w:hideMark/>
          </w:tcPr>
          <w:p w14:paraId="4D75D513"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0331AC" w:rsidRPr="004A6E37" w14:paraId="60EA3A25" w14:textId="77777777" w:rsidTr="00A875CA">
        <w:trPr>
          <w:trHeight w:val="273"/>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7FB4EA31"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Attractivité pour une utilisation non résidente</w:t>
            </w:r>
          </w:p>
        </w:tc>
        <w:tc>
          <w:tcPr>
            <w:tcW w:w="1495" w:type="pct"/>
            <w:tcBorders>
              <w:top w:val="nil"/>
              <w:left w:val="nil"/>
              <w:bottom w:val="single" w:sz="4" w:space="0" w:color="auto"/>
              <w:right w:val="single" w:sz="4" w:space="0" w:color="auto"/>
            </w:tcBorders>
            <w:shd w:val="clear" w:color="000000" w:fill="F2F2F2"/>
            <w:noWrap/>
            <w:vAlign w:val="center"/>
            <w:hideMark/>
          </w:tcPr>
          <w:p w14:paraId="5A8950B6"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0,40</w:t>
            </w:r>
          </w:p>
        </w:tc>
      </w:tr>
      <w:tr w:rsidR="000331AC" w:rsidRPr="004A6E37" w14:paraId="73B12EF5" w14:textId="77777777" w:rsidTr="00A875CA">
        <w:trPr>
          <w:trHeight w:val="262"/>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14C58A17"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 de base</w:t>
            </w:r>
          </w:p>
        </w:tc>
        <w:tc>
          <w:tcPr>
            <w:tcW w:w="1495" w:type="pct"/>
            <w:tcBorders>
              <w:top w:val="nil"/>
              <w:left w:val="nil"/>
              <w:bottom w:val="single" w:sz="4" w:space="0" w:color="auto"/>
              <w:right w:val="single" w:sz="4" w:space="0" w:color="auto"/>
            </w:tcBorders>
            <w:shd w:val="clear" w:color="000000" w:fill="F2F2F2"/>
            <w:noWrap/>
            <w:vAlign w:val="center"/>
            <w:hideMark/>
          </w:tcPr>
          <w:p w14:paraId="794F565D"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0331AC" w:rsidRPr="004A6E37" w14:paraId="72FABC1F" w14:textId="77777777" w:rsidTr="00A875CA">
        <w:trPr>
          <w:trHeight w:val="536"/>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6F6372E6"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 BO</w:t>
            </w:r>
          </w:p>
        </w:tc>
        <w:tc>
          <w:tcPr>
            <w:tcW w:w="1495" w:type="pct"/>
            <w:tcBorders>
              <w:top w:val="nil"/>
              <w:left w:val="nil"/>
              <w:bottom w:val="single" w:sz="4" w:space="0" w:color="auto"/>
              <w:right w:val="single" w:sz="4" w:space="0" w:color="auto"/>
            </w:tcBorders>
            <w:shd w:val="clear" w:color="000000" w:fill="F2F2F2"/>
            <w:noWrap/>
            <w:vAlign w:val="center"/>
            <w:hideMark/>
          </w:tcPr>
          <w:p w14:paraId="553BD22C"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0,78</w:t>
            </w:r>
          </w:p>
        </w:tc>
      </w:tr>
      <w:tr w:rsidR="000331AC" w:rsidRPr="004A6E37" w14:paraId="37EFBF46" w14:textId="77777777" w:rsidTr="00A875CA">
        <w:trPr>
          <w:trHeight w:val="558"/>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180FDECF"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Incidence dans les cas ML / TF analysés</w:t>
            </w:r>
          </w:p>
        </w:tc>
        <w:tc>
          <w:tcPr>
            <w:tcW w:w="1495" w:type="pct"/>
            <w:tcBorders>
              <w:top w:val="nil"/>
              <w:left w:val="nil"/>
              <w:bottom w:val="single" w:sz="4" w:space="0" w:color="auto"/>
              <w:right w:val="single" w:sz="4" w:space="0" w:color="auto"/>
            </w:tcBorders>
            <w:shd w:val="clear" w:color="000000" w:fill="F2F2F2"/>
            <w:noWrap/>
            <w:vAlign w:val="center"/>
            <w:hideMark/>
          </w:tcPr>
          <w:p w14:paraId="33E37441"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0331AC" w:rsidRPr="004A6E37" w14:paraId="511E7F35" w14:textId="77777777" w:rsidTr="00A875CA">
        <w:trPr>
          <w:trHeight w:val="424"/>
        </w:trPr>
        <w:tc>
          <w:tcPr>
            <w:tcW w:w="3505" w:type="pct"/>
            <w:tcBorders>
              <w:top w:val="nil"/>
              <w:left w:val="single" w:sz="4" w:space="0" w:color="auto"/>
              <w:bottom w:val="single" w:sz="4" w:space="0" w:color="auto"/>
              <w:right w:val="single" w:sz="4" w:space="0" w:color="auto"/>
            </w:tcBorders>
            <w:shd w:val="clear" w:color="000000" w:fill="D9E1F2"/>
            <w:vAlign w:val="center"/>
            <w:hideMark/>
          </w:tcPr>
          <w:p w14:paraId="0389BC39" w14:textId="77777777" w:rsidR="000331AC" w:rsidRPr="004A6E37" w:rsidRDefault="000331AC" w:rsidP="000331AC">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Existence de typologies ML / TF</w:t>
            </w:r>
          </w:p>
        </w:tc>
        <w:tc>
          <w:tcPr>
            <w:tcW w:w="1495" w:type="pct"/>
            <w:tcBorders>
              <w:top w:val="nil"/>
              <w:left w:val="nil"/>
              <w:bottom w:val="single" w:sz="4" w:space="0" w:color="auto"/>
              <w:right w:val="single" w:sz="4" w:space="0" w:color="auto"/>
            </w:tcBorders>
            <w:shd w:val="clear" w:color="000000" w:fill="F2F2F2"/>
            <w:noWrap/>
            <w:vAlign w:val="center"/>
            <w:hideMark/>
          </w:tcPr>
          <w:p w14:paraId="56067760"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0,00</w:t>
            </w:r>
          </w:p>
        </w:tc>
      </w:tr>
      <w:tr w:rsidR="000331AC" w:rsidRPr="004A6E37" w14:paraId="42F0DE73" w14:textId="77777777" w:rsidTr="00A875CA">
        <w:trPr>
          <w:trHeight w:val="558"/>
        </w:trPr>
        <w:tc>
          <w:tcPr>
            <w:tcW w:w="3505" w:type="pct"/>
            <w:tcBorders>
              <w:top w:val="nil"/>
              <w:left w:val="single" w:sz="8" w:space="0" w:color="auto"/>
              <w:bottom w:val="single" w:sz="8" w:space="0" w:color="auto"/>
              <w:right w:val="single" w:sz="8" w:space="0" w:color="auto"/>
            </w:tcBorders>
            <w:shd w:val="clear" w:color="000000" w:fill="203764"/>
            <w:noWrap/>
            <w:vAlign w:val="center"/>
            <w:hideMark/>
          </w:tcPr>
          <w:p w14:paraId="1A02EC39"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Niveau global</w:t>
            </w:r>
          </w:p>
        </w:tc>
        <w:tc>
          <w:tcPr>
            <w:tcW w:w="1495" w:type="pct"/>
            <w:tcBorders>
              <w:top w:val="nil"/>
              <w:left w:val="nil"/>
              <w:bottom w:val="nil"/>
              <w:right w:val="nil"/>
            </w:tcBorders>
            <w:shd w:val="clear" w:color="000000" w:fill="203764"/>
            <w:noWrap/>
            <w:vAlign w:val="center"/>
            <w:hideMark/>
          </w:tcPr>
          <w:p w14:paraId="7D2D039F" w14:textId="77777777" w:rsidR="000331AC" w:rsidRPr="004A6E37" w:rsidRDefault="000331AC" w:rsidP="000331AC">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0,57</w:t>
            </w:r>
          </w:p>
        </w:tc>
      </w:tr>
    </w:tbl>
    <w:p w14:paraId="2D92CD00" w14:textId="77777777" w:rsidR="007C4B3F" w:rsidRPr="004A6E37" w:rsidRDefault="007C4B3F" w:rsidP="008C7C1E">
      <w:pPr>
        <w:jc w:val="both"/>
        <w:rPr>
          <w:rFonts w:ascii="Times New Roman" w:eastAsia="Times New Roman" w:hAnsi="Times New Roman" w:cs="Times New Roman"/>
          <w:b/>
          <w:sz w:val="20"/>
          <w:szCs w:val="20"/>
        </w:rPr>
      </w:pPr>
    </w:p>
    <w:p w14:paraId="73CF5010" w14:textId="77777777" w:rsidR="00613A48" w:rsidRPr="004A6E37" w:rsidRDefault="00613A48" w:rsidP="007C4B3F">
      <w:pPr>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lastRenderedPageBreak/>
        <w:t>L’évaluation des valeurs intermédiaires des SARL étrangères a donné les résultats consignés dans le tableau ci-dessous.</w:t>
      </w:r>
    </w:p>
    <w:tbl>
      <w:tblPr>
        <w:tblW w:w="5000" w:type="pct"/>
        <w:tblCellMar>
          <w:left w:w="70" w:type="dxa"/>
          <w:right w:w="70" w:type="dxa"/>
        </w:tblCellMar>
        <w:tblLook w:val="04A0" w:firstRow="1" w:lastRow="0" w:firstColumn="1" w:lastColumn="0" w:noHBand="0" w:noVBand="1"/>
      </w:tblPr>
      <w:tblGrid>
        <w:gridCol w:w="6873"/>
        <w:gridCol w:w="2604"/>
      </w:tblGrid>
      <w:tr w:rsidR="00E74173" w:rsidRPr="004A6E37" w14:paraId="73221A3D" w14:textId="77777777" w:rsidTr="00A875CA">
        <w:trPr>
          <w:trHeight w:val="693"/>
        </w:trPr>
        <w:tc>
          <w:tcPr>
            <w:tcW w:w="3626" w:type="pct"/>
            <w:tcBorders>
              <w:top w:val="nil"/>
              <w:left w:val="single" w:sz="8" w:space="0" w:color="auto"/>
              <w:bottom w:val="nil"/>
              <w:right w:val="single" w:sz="8" w:space="0" w:color="auto"/>
            </w:tcBorders>
            <w:shd w:val="clear" w:color="000000" w:fill="203764"/>
            <w:noWrap/>
            <w:vAlign w:val="center"/>
            <w:hideMark/>
          </w:tcPr>
          <w:p w14:paraId="733F788F"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Variables intermédiaires</w:t>
            </w:r>
          </w:p>
        </w:tc>
        <w:tc>
          <w:tcPr>
            <w:tcW w:w="1374" w:type="pct"/>
            <w:tcBorders>
              <w:top w:val="nil"/>
              <w:left w:val="nil"/>
              <w:bottom w:val="nil"/>
              <w:right w:val="single" w:sz="8" w:space="0" w:color="auto"/>
            </w:tcBorders>
            <w:shd w:val="clear" w:color="000000" w:fill="203764"/>
            <w:noWrap/>
            <w:vAlign w:val="center"/>
            <w:hideMark/>
          </w:tcPr>
          <w:p w14:paraId="650104CD"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Scores intermédiaires</w:t>
            </w:r>
          </w:p>
        </w:tc>
      </w:tr>
      <w:tr w:rsidR="00E74173" w:rsidRPr="004A6E37" w14:paraId="0C01312D" w14:textId="77777777" w:rsidTr="00A875CA">
        <w:trPr>
          <w:trHeight w:val="356"/>
        </w:trPr>
        <w:tc>
          <w:tcPr>
            <w:tcW w:w="3626"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E559A55" w14:textId="77777777" w:rsidR="00E74173" w:rsidRPr="004A6E37" w:rsidRDefault="00E74173" w:rsidP="009D1C7F">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Échelle</w:t>
            </w:r>
          </w:p>
        </w:tc>
        <w:tc>
          <w:tcPr>
            <w:tcW w:w="1374" w:type="pct"/>
            <w:tcBorders>
              <w:top w:val="single" w:sz="4" w:space="0" w:color="auto"/>
              <w:left w:val="nil"/>
              <w:bottom w:val="single" w:sz="4" w:space="0" w:color="auto"/>
              <w:right w:val="single" w:sz="4" w:space="0" w:color="auto"/>
            </w:tcBorders>
            <w:shd w:val="clear" w:color="000000" w:fill="F2F2F2"/>
            <w:noWrap/>
            <w:vAlign w:val="center"/>
            <w:hideMark/>
          </w:tcPr>
          <w:p w14:paraId="350E989B"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E74173" w:rsidRPr="004A6E37" w14:paraId="7DB29F58" w14:textId="77777777" w:rsidTr="00A875CA">
        <w:trPr>
          <w:trHeight w:val="416"/>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24C84E09"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Exposition au risque transfrontalière</w:t>
            </w:r>
          </w:p>
        </w:tc>
        <w:tc>
          <w:tcPr>
            <w:tcW w:w="1374" w:type="pct"/>
            <w:tcBorders>
              <w:top w:val="nil"/>
              <w:left w:val="nil"/>
              <w:bottom w:val="single" w:sz="4" w:space="0" w:color="auto"/>
              <w:right w:val="single" w:sz="4" w:space="0" w:color="auto"/>
            </w:tcBorders>
            <w:shd w:val="clear" w:color="000000" w:fill="F2F2F2"/>
            <w:noWrap/>
            <w:vAlign w:val="center"/>
            <w:hideMark/>
          </w:tcPr>
          <w:p w14:paraId="33667C12"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E74173" w:rsidRPr="004A6E37" w14:paraId="28650039" w14:textId="77777777" w:rsidTr="00A875CA">
        <w:trPr>
          <w:trHeight w:val="367"/>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4897E6E2"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Efficacité de la coopération internationale avec la juridiction étrangère</w:t>
            </w:r>
          </w:p>
        </w:tc>
        <w:tc>
          <w:tcPr>
            <w:tcW w:w="1374" w:type="pct"/>
            <w:tcBorders>
              <w:top w:val="nil"/>
              <w:left w:val="nil"/>
              <w:bottom w:val="single" w:sz="4" w:space="0" w:color="auto"/>
              <w:right w:val="single" w:sz="4" w:space="0" w:color="auto"/>
            </w:tcBorders>
            <w:shd w:val="clear" w:color="000000" w:fill="F2F2F2"/>
            <w:noWrap/>
            <w:vAlign w:val="center"/>
            <w:hideMark/>
          </w:tcPr>
          <w:p w14:paraId="068145F2"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E74173" w:rsidRPr="004A6E37" w14:paraId="41A25F74" w14:textId="77777777" w:rsidTr="00A875CA">
        <w:trPr>
          <w:trHeight w:val="558"/>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45C66419"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Attractivité à utiliser dans votre juridiction</w:t>
            </w:r>
          </w:p>
        </w:tc>
        <w:tc>
          <w:tcPr>
            <w:tcW w:w="1374" w:type="pct"/>
            <w:tcBorders>
              <w:top w:val="nil"/>
              <w:left w:val="nil"/>
              <w:bottom w:val="single" w:sz="4" w:space="0" w:color="auto"/>
              <w:right w:val="single" w:sz="4" w:space="0" w:color="auto"/>
            </w:tcBorders>
            <w:shd w:val="clear" w:color="000000" w:fill="F2F2F2"/>
            <w:noWrap/>
            <w:vAlign w:val="center"/>
            <w:hideMark/>
          </w:tcPr>
          <w:p w14:paraId="66FAE14E"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0,30</w:t>
            </w:r>
          </w:p>
        </w:tc>
      </w:tr>
      <w:tr w:rsidR="00E74173" w:rsidRPr="004A6E37" w14:paraId="58A0492D" w14:textId="77777777" w:rsidTr="00A875CA">
        <w:trPr>
          <w:trHeight w:val="410"/>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0D34B11F"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 de base</w:t>
            </w:r>
          </w:p>
        </w:tc>
        <w:tc>
          <w:tcPr>
            <w:tcW w:w="1374" w:type="pct"/>
            <w:tcBorders>
              <w:top w:val="nil"/>
              <w:left w:val="nil"/>
              <w:bottom w:val="single" w:sz="4" w:space="0" w:color="auto"/>
              <w:right w:val="single" w:sz="4" w:space="0" w:color="auto"/>
            </w:tcBorders>
            <w:shd w:val="clear" w:color="000000" w:fill="F2F2F2"/>
            <w:noWrap/>
            <w:vAlign w:val="center"/>
            <w:hideMark/>
          </w:tcPr>
          <w:p w14:paraId="397BACC8"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0,50</w:t>
            </w:r>
          </w:p>
        </w:tc>
      </w:tr>
      <w:tr w:rsidR="00E74173" w:rsidRPr="004A6E37" w14:paraId="0B24BDB0" w14:textId="77777777" w:rsidTr="00A875CA">
        <w:trPr>
          <w:trHeight w:val="430"/>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182418FE"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Qualité et accessibilité des informations BO</w:t>
            </w:r>
          </w:p>
        </w:tc>
        <w:tc>
          <w:tcPr>
            <w:tcW w:w="1374" w:type="pct"/>
            <w:tcBorders>
              <w:top w:val="nil"/>
              <w:left w:val="nil"/>
              <w:bottom w:val="single" w:sz="4" w:space="0" w:color="auto"/>
              <w:right w:val="single" w:sz="4" w:space="0" w:color="auto"/>
            </w:tcBorders>
            <w:shd w:val="clear" w:color="000000" w:fill="F2F2F2"/>
            <w:noWrap/>
            <w:vAlign w:val="center"/>
            <w:hideMark/>
          </w:tcPr>
          <w:p w14:paraId="3BDF935A"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0,88</w:t>
            </w:r>
          </w:p>
        </w:tc>
      </w:tr>
      <w:tr w:rsidR="00E74173" w:rsidRPr="004A6E37" w14:paraId="6C7B97AE" w14:textId="77777777" w:rsidTr="00A875CA">
        <w:trPr>
          <w:trHeight w:val="394"/>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1B8DC22F"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Incidence dans les cas ML / TF analysés</w:t>
            </w:r>
          </w:p>
        </w:tc>
        <w:tc>
          <w:tcPr>
            <w:tcW w:w="1374" w:type="pct"/>
            <w:tcBorders>
              <w:top w:val="nil"/>
              <w:left w:val="nil"/>
              <w:bottom w:val="single" w:sz="4" w:space="0" w:color="auto"/>
              <w:right w:val="single" w:sz="4" w:space="0" w:color="auto"/>
            </w:tcBorders>
            <w:shd w:val="clear" w:color="000000" w:fill="F2F2F2"/>
            <w:noWrap/>
            <w:vAlign w:val="center"/>
            <w:hideMark/>
          </w:tcPr>
          <w:p w14:paraId="285F5639"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E74173" w:rsidRPr="004A6E37" w14:paraId="36C23ACE" w14:textId="77777777" w:rsidTr="00A875CA">
        <w:trPr>
          <w:trHeight w:val="360"/>
        </w:trPr>
        <w:tc>
          <w:tcPr>
            <w:tcW w:w="3626" w:type="pct"/>
            <w:tcBorders>
              <w:top w:val="nil"/>
              <w:left w:val="single" w:sz="4" w:space="0" w:color="auto"/>
              <w:bottom w:val="single" w:sz="4" w:space="0" w:color="auto"/>
              <w:right w:val="single" w:sz="4" w:space="0" w:color="auto"/>
            </w:tcBorders>
            <w:shd w:val="clear" w:color="000000" w:fill="D9E1F2"/>
            <w:vAlign w:val="center"/>
            <w:hideMark/>
          </w:tcPr>
          <w:p w14:paraId="5C76D948" w14:textId="77777777" w:rsidR="00E74173" w:rsidRPr="004A6E37" w:rsidRDefault="00E74173" w:rsidP="00E74173">
            <w:pPr>
              <w:spacing w:after="0" w:line="240" w:lineRule="auto"/>
              <w:rPr>
                <w:rFonts w:ascii="Times New Roman" w:eastAsia="Times New Roman" w:hAnsi="Times New Roman" w:cs="Times New Roman"/>
                <w:szCs w:val="28"/>
                <w:lang w:eastAsia="fr-CA"/>
              </w:rPr>
            </w:pPr>
            <w:r w:rsidRPr="004A6E37">
              <w:rPr>
                <w:rFonts w:ascii="Times New Roman" w:eastAsia="Times New Roman" w:hAnsi="Times New Roman" w:cs="Times New Roman"/>
                <w:szCs w:val="28"/>
                <w:lang w:eastAsia="fr-CA"/>
              </w:rPr>
              <w:t>Existence de typologies ML / TF</w:t>
            </w:r>
          </w:p>
        </w:tc>
        <w:tc>
          <w:tcPr>
            <w:tcW w:w="1374" w:type="pct"/>
            <w:tcBorders>
              <w:top w:val="nil"/>
              <w:left w:val="nil"/>
              <w:bottom w:val="single" w:sz="4" w:space="0" w:color="auto"/>
              <w:right w:val="single" w:sz="4" w:space="0" w:color="auto"/>
            </w:tcBorders>
            <w:shd w:val="clear" w:color="000000" w:fill="F2F2F2"/>
            <w:noWrap/>
            <w:vAlign w:val="center"/>
            <w:hideMark/>
          </w:tcPr>
          <w:p w14:paraId="567A8EB9"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0,95</w:t>
            </w:r>
          </w:p>
        </w:tc>
      </w:tr>
      <w:tr w:rsidR="00E74173" w:rsidRPr="004A6E37" w14:paraId="0A93A8E5" w14:textId="77777777" w:rsidTr="00A875CA">
        <w:trPr>
          <w:trHeight w:val="414"/>
        </w:trPr>
        <w:tc>
          <w:tcPr>
            <w:tcW w:w="3626" w:type="pct"/>
            <w:tcBorders>
              <w:top w:val="nil"/>
              <w:left w:val="single" w:sz="8" w:space="0" w:color="auto"/>
              <w:bottom w:val="single" w:sz="8" w:space="0" w:color="auto"/>
              <w:right w:val="single" w:sz="8" w:space="0" w:color="auto"/>
            </w:tcBorders>
            <w:shd w:val="clear" w:color="000000" w:fill="203764"/>
            <w:noWrap/>
            <w:vAlign w:val="center"/>
            <w:hideMark/>
          </w:tcPr>
          <w:p w14:paraId="5456C461"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Niveau global</w:t>
            </w:r>
          </w:p>
        </w:tc>
        <w:tc>
          <w:tcPr>
            <w:tcW w:w="1374" w:type="pct"/>
            <w:tcBorders>
              <w:top w:val="nil"/>
              <w:left w:val="nil"/>
              <w:bottom w:val="nil"/>
              <w:right w:val="nil"/>
            </w:tcBorders>
            <w:shd w:val="clear" w:color="000000" w:fill="203764"/>
            <w:noWrap/>
            <w:vAlign w:val="center"/>
            <w:hideMark/>
          </w:tcPr>
          <w:p w14:paraId="1FB8AB63" w14:textId="77777777" w:rsidR="00E74173" w:rsidRPr="004A6E37" w:rsidRDefault="00E74173" w:rsidP="00E74173">
            <w:pPr>
              <w:spacing w:after="0" w:line="240" w:lineRule="auto"/>
              <w:jc w:val="center"/>
              <w:rPr>
                <w:rFonts w:ascii="Times New Roman" w:eastAsia="Times New Roman" w:hAnsi="Times New Roman" w:cs="Times New Roman"/>
                <w:b/>
                <w:bCs/>
                <w:szCs w:val="28"/>
                <w:lang w:eastAsia="fr-CA"/>
              </w:rPr>
            </w:pPr>
            <w:r w:rsidRPr="004A6E37">
              <w:rPr>
                <w:rFonts w:ascii="Times New Roman" w:eastAsia="Times New Roman" w:hAnsi="Times New Roman" w:cs="Times New Roman"/>
                <w:b/>
                <w:bCs/>
                <w:szCs w:val="28"/>
                <w:lang w:eastAsia="fr-CA"/>
              </w:rPr>
              <w:t>0,69</w:t>
            </w:r>
          </w:p>
        </w:tc>
      </w:tr>
    </w:tbl>
    <w:p w14:paraId="5DC307F2" w14:textId="77777777" w:rsidR="00535B9F" w:rsidRPr="004A6E37" w:rsidRDefault="00535B9F" w:rsidP="005134AF">
      <w:pPr>
        <w:pStyle w:val="En-tte"/>
        <w:jc w:val="both"/>
        <w:rPr>
          <w:rFonts w:ascii="Times New Roman" w:eastAsia="Times New Roman" w:hAnsi="Times New Roman" w:cs="Times New Roman"/>
          <w:b/>
          <w:sz w:val="24"/>
          <w:szCs w:val="24"/>
        </w:rPr>
      </w:pPr>
    </w:p>
    <w:p w14:paraId="1E14B5F1" w14:textId="77777777" w:rsidR="000331AC" w:rsidRPr="004A6E37" w:rsidRDefault="00DE3079" w:rsidP="005134AF">
      <w:pPr>
        <w:pStyle w:val="En-tte"/>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2.2</w:t>
      </w:r>
      <w:r w:rsidR="009D1C7F" w:rsidRPr="004A6E37">
        <w:rPr>
          <w:rFonts w:ascii="Times New Roman" w:eastAsia="Times New Roman" w:hAnsi="Times New Roman" w:cs="Times New Roman"/>
          <w:b/>
          <w:sz w:val="24"/>
          <w:szCs w:val="24"/>
        </w:rPr>
        <w:t>.3.  Risques :</w:t>
      </w:r>
    </w:p>
    <w:p w14:paraId="1B94AF07" w14:textId="77777777" w:rsidR="00C02302" w:rsidRPr="004A6E37" w:rsidRDefault="00C02302" w:rsidP="00DB6169">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Le niveau de risque résulte de la combinaison de la menace et la vulnérabilité. Il est évalué par la feuille Excel (Sept3 Master). Le niveau de risque a été évalué à « </w:t>
      </w:r>
      <w:r w:rsidR="0000352C" w:rsidRPr="004A6E37">
        <w:rPr>
          <w:rFonts w:ascii="Times New Roman" w:eastAsia="Calibri" w:hAnsi="Times New Roman" w:cs="Times New Roman"/>
          <w:sz w:val="24"/>
          <w:szCs w:val="24"/>
        </w:rPr>
        <w:t>moyen</w:t>
      </w:r>
      <w:r w:rsidRPr="004A6E37">
        <w:rPr>
          <w:rFonts w:ascii="Times New Roman" w:eastAsia="Calibri" w:hAnsi="Times New Roman" w:cs="Times New Roman"/>
          <w:sz w:val="24"/>
          <w:szCs w:val="24"/>
        </w:rPr>
        <w:t xml:space="preserve"> » voir graphique ci-dessous.  </w:t>
      </w:r>
    </w:p>
    <w:p w14:paraId="320B562B" w14:textId="77777777" w:rsidR="004011BB" w:rsidRPr="004A6E37" w:rsidRDefault="004011BB" w:rsidP="00C02302">
      <w:pPr>
        <w:jc w:val="both"/>
        <w:rPr>
          <w:rFonts w:ascii="Times New Roman" w:eastAsia="Calibri" w:hAnsi="Times New Roman" w:cs="Times New Roman"/>
          <w:b/>
          <w:sz w:val="6"/>
          <w:szCs w:val="24"/>
        </w:rPr>
      </w:pPr>
    </w:p>
    <w:p w14:paraId="77F5730E" w14:textId="77777777" w:rsidR="004011BB" w:rsidRPr="004A6E37" w:rsidRDefault="004011BB" w:rsidP="00C02302">
      <w:pPr>
        <w:jc w:val="both"/>
        <w:rPr>
          <w:rFonts w:ascii="Times New Roman" w:eastAsia="Calibri" w:hAnsi="Times New Roman" w:cs="Times New Roman"/>
          <w:b/>
          <w:sz w:val="24"/>
          <w:szCs w:val="24"/>
        </w:rPr>
      </w:pPr>
      <w:r w:rsidRPr="004A6E37">
        <w:rPr>
          <w:rFonts w:ascii="Times New Roman" w:hAnsi="Times New Roman" w:cs="Times New Roman"/>
          <w:noProof/>
          <w:lang w:val="fr-CA" w:eastAsia="fr-CA"/>
        </w:rPr>
        <w:drawing>
          <wp:inline distT="0" distB="0" distL="0" distR="0" wp14:anchorId="483CAEBB" wp14:editId="5B0808A9">
            <wp:extent cx="5486400" cy="2436495"/>
            <wp:effectExtent l="0" t="0" r="19050" b="20955"/>
            <wp:docPr id="20" name="Graphique 20">
              <a:extLst xmlns:a="http://schemas.openxmlformats.org/drawingml/2006/main">
                <a:ext uri="{FF2B5EF4-FFF2-40B4-BE49-F238E27FC236}">
                  <a16:creationId xmlns:a16="http://schemas.microsoft.com/office/drawing/2014/main" id="{29D1813C-A0CC-48AE-B5CA-2BFBA6231E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4BCC36" w14:textId="77777777" w:rsidR="004011BB" w:rsidRPr="004A6E37" w:rsidRDefault="004011BB" w:rsidP="00C02302">
      <w:pPr>
        <w:jc w:val="both"/>
        <w:rPr>
          <w:rFonts w:ascii="Times New Roman" w:eastAsia="Calibri" w:hAnsi="Times New Roman" w:cs="Times New Roman"/>
          <w:b/>
          <w:sz w:val="18"/>
          <w:szCs w:val="24"/>
        </w:rPr>
      </w:pPr>
    </w:p>
    <w:p w14:paraId="5CE5EB4A" w14:textId="77777777" w:rsidR="002C0C87" w:rsidRPr="004A6E37" w:rsidRDefault="007345B1" w:rsidP="001F564C">
      <w:pPr>
        <w:pStyle w:val="En-tte"/>
        <w:spacing w:line="360" w:lineRule="auto"/>
        <w:ind w:firstLine="708"/>
        <w:jc w:val="both"/>
        <w:outlineLvl w:val="2"/>
        <w:rPr>
          <w:rFonts w:ascii="Times New Roman" w:hAnsi="Times New Roman" w:cs="Times New Roman"/>
          <w:b/>
          <w:sz w:val="24"/>
          <w:szCs w:val="24"/>
        </w:rPr>
      </w:pPr>
      <w:bookmarkStart w:id="65" w:name="_Toc126251891"/>
      <w:r w:rsidRPr="004A6E37">
        <w:rPr>
          <w:rFonts w:ascii="Times New Roman" w:eastAsia="Times New Roman" w:hAnsi="Times New Roman" w:cs="Times New Roman"/>
          <w:b/>
          <w:sz w:val="24"/>
          <w:szCs w:val="24"/>
        </w:rPr>
        <w:t>2.3</w:t>
      </w:r>
      <w:r w:rsidR="002C0C87" w:rsidRPr="004A6E37">
        <w:rPr>
          <w:rFonts w:ascii="Times New Roman" w:eastAsia="Times New Roman" w:hAnsi="Times New Roman" w:cs="Times New Roman"/>
          <w:b/>
          <w:sz w:val="24"/>
          <w:szCs w:val="24"/>
        </w:rPr>
        <w:t xml:space="preserve">. </w:t>
      </w:r>
      <w:r w:rsidR="002C0C87" w:rsidRPr="004A6E37">
        <w:rPr>
          <w:rFonts w:ascii="Times New Roman" w:hAnsi="Times New Roman" w:cs="Times New Roman"/>
          <w:b/>
          <w:sz w:val="24"/>
          <w:szCs w:val="24"/>
        </w:rPr>
        <w:t>Sociétés Immobilières</w:t>
      </w:r>
      <w:bookmarkEnd w:id="65"/>
    </w:p>
    <w:p w14:paraId="7B804E25" w14:textId="77777777" w:rsidR="0086758F" w:rsidRPr="004A6E37" w:rsidRDefault="00613A48" w:rsidP="00020944">
      <w:pPr>
        <w:pStyle w:val="En-tte"/>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Les sociétés immobilières font l’objet d’inscription sur le</w:t>
      </w:r>
      <w:r w:rsidR="0086758F" w:rsidRPr="004A6E37">
        <w:rPr>
          <w:rFonts w:ascii="Times New Roman" w:hAnsi="Times New Roman" w:cs="Times New Roman"/>
          <w:sz w:val="24"/>
          <w:szCs w:val="24"/>
        </w:rPr>
        <w:t xml:space="preserve"> RCCM</w:t>
      </w:r>
      <w:r w:rsidRPr="004A6E37">
        <w:rPr>
          <w:rFonts w:ascii="Times New Roman" w:hAnsi="Times New Roman" w:cs="Times New Roman"/>
          <w:sz w:val="24"/>
          <w:szCs w:val="24"/>
        </w:rPr>
        <w:t xml:space="preserve">. Elles sont tenues d’avoir des </w:t>
      </w:r>
      <w:r w:rsidR="0086758F" w:rsidRPr="004A6E37">
        <w:rPr>
          <w:rFonts w:ascii="Times New Roman" w:hAnsi="Times New Roman" w:cs="Times New Roman"/>
          <w:sz w:val="24"/>
          <w:szCs w:val="24"/>
        </w:rPr>
        <w:t>numéros de NINA. Elles exercent les activités commerciales et nouent les relations avec des sociétés étrangères ou des clients résidents à l’extérieur.</w:t>
      </w:r>
    </w:p>
    <w:p w14:paraId="0442E099" w14:textId="77777777" w:rsidR="0000352C" w:rsidRPr="004A6E37" w:rsidRDefault="0000352C" w:rsidP="00020944">
      <w:pPr>
        <w:pStyle w:val="En-tte"/>
        <w:spacing w:line="360" w:lineRule="auto"/>
        <w:jc w:val="both"/>
        <w:rPr>
          <w:rFonts w:ascii="Times New Roman" w:hAnsi="Times New Roman" w:cs="Times New Roman"/>
          <w:sz w:val="24"/>
          <w:szCs w:val="24"/>
        </w:rPr>
      </w:pPr>
    </w:p>
    <w:p w14:paraId="14AF0A80" w14:textId="77777777" w:rsidR="0086758F" w:rsidRPr="004A6E37" w:rsidRDefault="007345B1" w:rsidP="00020944">
      <w:pPr>
        <w:pStyle w:val="En-tte"/>
        <w:spacing w:line="360" w:lineRule="auto"/>
        <w:jc w:val="both"/>
        <w:rPr>
          <w:rFonts w:ascii="Times New Roman" w:hAnsi="Times New Roman" w:cs="Times New Roman"/>
          <w:b/>
          <w:sz w:val="24"/>
          <w:szCs w:val="24"/>
        </w:rPr>
      </w:pPr>
      <w:r w:rsidRPr="004A6E37">
        <w:rPr>
          <w:rFonts w:ascii="Times New Roman" w:hAnsi="Times New Roman" w:cs="Times New Roman"/>
          <w:b/>
          <w:sz w:val="24"/>
          <w:szCs w:val="24"/>
        </w:rPr>
        <w:lastRenderedPageBreak/>
        <w:t xml:space="preserve">           2.3</w:t>
      </w:r>
      <w:r w:rsidR="0086758F" w:rsidRPr="004A6E37">
        <w:rPr>
          <w:rFonts w:ascii="Times New Roman" w:hAnsi="Times New Roman" w:cs="Times New Roman"/>
          <w:b/>
          <w:sz w:val="24"/>
          <w:szCs w:val="24"/>
        </w:rPr>
        <w:t>.1. Menaces</w:t>
      </w:r>
    </w:p>
    <w:p w14:paraId="1A329DD4" w14:textId="77777777" w:rsidR="0086758F" w:rsidRPr="004A6E37" w:rsidRDefault="0086758F" w:rsidP="00020944">
      <w:pPr>
        <w:pStyle w:val="En-tte"/>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Le niveau de la menace est évalué </w:t>
      </w:r>
      <w:r w:rsidR="00620BBB" w:rsidRPr="004A6E37">
        <w:rPr>
          <w:rFonts w:ascii="Times New Roman" w:eastAsia="Times New Roman" w:hAnsi="Times New Roman" w:cs="Times New Roman"/>
          <w:sz w:val="24"/>
          <w:szCs w:val="24"/>
        </w:rPr>
        <w:t>0,5</w:t>
      </w:r>
      <w:r w:rsidR="00312D93" w:rsidRPr="004A6E37">
        <w:rPr>
          <w:rFonts w:ascii="Times New Roman" w:eastAsia="Times New Roman" w:hAnsi="Times New Roman" w:cs="Times New Roman"/>
          <w:sz w:val="24"/>
          <w:szCs w:val="24"/>
        </w:rPr>
        <w:t> ;</w:t>
      </w:r>
      <w:r w:rsidRPr="004A6E37">
        <w:rPr>
          <w:rFonts w:ascii="Times New Roman" w:eastAsia="Times New Roman" w:hAnsi="Times New Roman" w:cs="Times New Roman"/>
          <w:sz w:val="24"/>
          <w:szCs w:val="24"/>
        </w:rPr>
        <w:t xml:space="preserve"> ce qui dépend de :</w:t>
      </w:r>
    </w:p>
    <w:p w14:paraId="22DD92E0" w14:textId="77777777" w:rsidR="0086758F" w:rsidRPr="004A6E37" w:rsidRDefault="00312D93" w:rsidP="00920BFE">
      <w:pPr>
        <w:pStyle w:val="En-tte"/>
        <w:numPr>
          <w:ilvl w:val="0"/>
          <w:numId w:val="19"/>
        </w:numPr>
        <w:spacing w:line="360" w:lineRule="auto"/>
        <w:ind w:left="709" w:hanging="425"/>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86758F" w:rsidRPr="004A6E37">
        <w:rPr>
          <w:rFonts w:ascii="Times New Roman" w:eastAsia="Times New Roman" w:hAnsi="Times New Roman" w:cs="Times New Roman"/>
          <w:sz w:val="24"/>
          <w:szCs w:val="24"/>
        </w:rPr>
        <w:t>e niveau de menace lié aux données des autorités chargées d’appliquer la loi est évalué 0,5</w:t>
      </w:r>
      <w:r w:rsidR="0000352C" w:rsidRPr="004A6E37">
        <w:rPr>
          <w:rFonts w:ascii="Times New Roman" w:eastAsia="Times New Roman" w:hAnsi="Times New Roman" w:cs="Times New Roman"/>
          <w:sz w:val="24"/>
          <w:szCs w:val="24"/>
        </w:rPr>
        <w:t xml:space="preserve"> « moyen »</w:t>
      </w:r>
      <w:r w:rsidR="00AA73E7" w:rsidRPr="004A6E37">
        <w:rPr>
          <w:rFonts w:ascii="Times New Roman" w:eastAsia="Times New Roman" w:hAnsi="Times New Roman" w:cs="Times New Roman"/>
          <w:sz w:val="24"/>
          <w:szCs w:val="24"/>
        </w:rPr>
        <w:t> :</w:t>
      </w:r>
    </w:p>
    <w:p w14:paraId="29587272" w14:textId="77777777" w:rsidR="0086758F" w:rsidRPr="004A6E37" w:rsidRDefault="00AA73E7"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86758F" w:rsidRPr="004A6E37">
        <w:rPr>
          <w:rFonts w:ascii="Times New Roman" w:eastAsia="Times New Roman" w:hAnsi="Times New Roman" w:cs="Times New Roman"/>
          <w:sz w:val="24"/>
          <w:szCs w:val="24"/>
        </w:rPr>
        <w:t>a CENTIF a reçu des DOS</w:t>
      </w:r>
      <w:r w:rsidRPr="004A6E37">
        <w:rPr>
          <w:rFonts w:ascii="Times New Roman" w:eastAsia="Times New Roman" w:hAnsi="Times New Roman" w:cs="Times New Roman"/>
          <w:sz w:val="24"/>
          <w:szCs w:val="24"/>
        </w:rPr>
        <w:t>,</w:t>
      </w:r>
    </w:p>
    <w:p w14:paraId="412B3570" w14:textId="77777777" w:rsidR="0086758F" w:rsidRPr="004A6E37" w:rsidRDefault="00AA73E7"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w:t>
      </w:r>
      <w:r w:rsidR="0086758F" w:rsidRPr="004A6E37">
        <w:rPr>
          <w:rFonts w:ascii="Times New Roman" w:eastAsia="Times New Roman" w:hAnsi="Times New Roman" w:cs="Times New Roman"/>
          <w:sz w:val="24"/>
          <w:szCs w:val="24"/>
        </w:rPr>
        <w:t>as de demande d’entraide judiciaire demandée et reçue</w:t>
      </w:r>
      <w:r w:rsidRPr="004A6E37">
        <w:rPr>
          <w:rFonts w:ascii="Times New Roman" w:eastAsia="Times New Roman" w:hAnsi="Times New Roman" w:cs="Times New Roman"/>
          <w:sz w:val="24"/>
          <w:szCs w:val="24"/>
        </w:rPr>
        <w:t>,</w:t>
      </w:r>
    </w:p>
    <w:p w14:paraId="31ADE21B" w14:textId="77777777" w:rsidR="0086758F" w:rsidRPr="004A6E37" w:rsidRDefault="00AA73E7"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d</w:t>
      </w:r>
      <w:r w:rsidR="0086758F" w:rsidRPr="004A6E37">
        <w:rPr>
          <w:rFonts w:ascii="Times New Roman" w:eastAsia="Times New Roman" w:hAnsi="Times New Roman" w:cs="Times New Roman"/>
          <w:sz w:val="24"/>
          <w:szCs w:val="24"/>
        </w:rPr>
        <w:t>es cas sont en cours d’instruction au pôle judiciaire spécialisé</w:t>
      </w:r>
      <w:r w:rsidRPr="004A6E37">
        <w:rPr>
          <w:rFonts w:ascii="Times New Roman" w:eastAsia="Times New Roman" w:hAnsi="Times New Roman" w:cs="Times New Roman"/>
          <w:sz w:val="24"/>
          <w:szCs w:val="24"/>
        </w:rPr>
        <w:t>,</w:t>
      </w:r>
    </w:p>
    <w:p w14:paraId="76C7E62B" w14:textId="77777777" w:rsidR="0086758F" w:rsidRPr="004A6E37" w:rsidRDefault="00AA73E7"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p</w:t>
      </w:r>
      <w:r w:rsidR="0086758F" w:rsidRPr="004A6E37">
        <w:rPr>
          <w:rFonts w:ascii="Times New Roman" w:eastAsia="Times New Roman" w:hAnsi="Times New Roman" w:cs="Times New Roman"/>
          <w:sz w:val="24"/>
          <w:szCs w:val="24"/>
        </w:rPr>
        <w:t>as de cas de condamnation</w:t>
      </w:r>
      <w:r w:rsidR="007C4B3F" w:rsidRPr="004A6E37">
        <w:rPr>
          <w:rFonts w:ascii="Times New Roman" w:eastAsia="Times New Roman" w:hAnsi="Times New Roman" w:cs="Times New Roman"/>
          <w:sz w:val="24"/>
          <w:szCs w:val="24"/>
        </w:rPr>
        <w:t>.</w:t>
      </w:r>
      <w:r w:rsidR="0086758F" w:rsidRPr="004A6E37">
        <w:rPr>
          <w:rFonts w:ascii="Times New Roman" w:eastAsia="Times New Roman" w:hAnsi="Times New Roman" w:cs="Times New Roman"/>
          <w:sz w:val="24"/>
          <w:szCs w:val="24"/>
        </w:rPr>
        <w:t xml:space="preserve"> </w:t>
      </w:r>
    </w:p>
    <w:p w14:paraId="6DD600F2" w14:textId="77777777" w:rsidR="0086758F" w:rsidRPr="004A6E37" w:rsidRDefault="0086758F" w:rsidP="00020944">
      <w:pPr>
        <w:pStyle w:val="En-tte"/>
        <w:spacing w:line="360" w:lineRule="auto"/>
        <w:jc w:val="both"/>
        <w:rPr>
          <w:rFonts w:ascii="Times New Roman" w:eastAsia="Times New Roman" w:hAnsi="Times New Roman" w:cs="Times New Roman"/>
          <w:sz w:val="12"/>
          <w:szCs w:val="24"/>
        </w:rPr>
      </w:pPr>
    </w:p>
    <w:p w14:paraId="45EF3189" w14:textId="77777777" w:rsidR="0086758F" w:rsidRPr="004A6E37" w:rsidRDefault="00312D93" w:rsidP="00920BFE">
      <w:pPr>
        <w:pStyle w:val="En-tte"/>
        <w:numPr>
          <w:ilvl w:val="0"/>
          <w:numId w:val="19"/>
        </w:numPr>
        <w:spacing w:line="360" w:lineRule="auto"/>
        <w:ind w:left="709" w:hanging="425"/>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86758F" w:rsidRPr="004A6E37">
        <w:rPr>
          <w:rFonts w:ascii="Times New Roman" w:eastAsia="Times New Roman" w:hAnsi="Times New Roman" w:cs="Times New Roman"/>
          <w:sz w:val="24"/>
          <w:szCs w:val="24"/>
        </w:rPr>
        <w:t>e niveau de risque basé sur les perceptions des menaces et des données</w:t>
      </w:r>
      <w:r w:rsidR="00BD1ABC" w:rsidRPr="004A6E37">
        <w:rPr>
          <w:rFonts w:ascii="Times New Roman" w:eastAsia="Times New Roman" w:hAnsi="Times New Roman" w:cs="Times New Roman"/>
          <w:sz w:val="24"/>
          <w:szCs w:val="24"/>
        </w:rPr>
        <w:t> :</w:t>
      </w:r>
      <w:r w:rsidR="0086758F" w:rsidRPr="004A6E37">
        <w:rPr>
          <w:rFonts w:ascii="Times New Roman" w:eastAsia="Times New Roman" w:hAnsi="Times New Roman" w:cs="Times New Roman"/>
          <w:sz w:val="24"/>
          <w:szCs w:val="24"/>
        </w:rPr>
        <w:t xml:space="preserve"> </w:t>
      </w:r>
    </w:p>
    <w:p w14:paraId="044C24B9" w14:textId="77777777" w:rsidR="0086758F" w:rsidRPr="004A6E37" w:rsidRDefault="00D80E6B"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096F7E" w:rsidRPr="004A6E37">
        <w:rPr>
          <w:rFonts w:ascii="Times New Roman" w:eastAsia="Times New Roman" w:hAnsi="Times New Roman" w:cs="Times New Roman"/>
          <w:sz w:val="24"/>
          <w:szCs w:val="24"/>
        </w:rPr>
        <w:t xml:space="preserve">es cas </w:t>
      </w:r>
      <w:r w:rsidR="00626456" w:rsidRPr="004A6E37">
        <w:rPr>
          <w:rFonts w:ascii="Times New Roman" w:eastAsia="Times New Roman" w:hAnsi="Times New Roman" w:cs="Times New Roman"/>
          <w:sz w:val="24"/>
          <w:szCs w:val="24"/>
        </w:rPr>
        <w:t>identifiés ne sont pas nombreux,</w:t>
      </w:r>
    </w:p>
    <w:p w14:paraId="78297969" w14:textId="77777777" w:rsidR="0086758F" w:rsidRPr="004A6E37" w:rsidRDefault="00D80E6B"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86758F" w:rsidRPr="004A6E37">
        <w:rPr>
          <w:rFonts w:ascii="Times New Roman" w:eastAsia="Times New Roman" w:hAnsi="Times New Roman" w:cs="Times New Roman"/>
          <w:sz w:val="24"/>
          <w:szCs w:val="24"/>
        </w:rPr>
        <w:t>es sondages recueillis auprès des acteurs du secteur public donnent un niveau de menace moyen</w:t>
      </w:r>
      <w:r w:rsidR="00626456" w:rsidRPr="004A6E37">
        <w:rPr>
          <w:rFonts w:ascii="Times New Roman" w:eastAsia="Times New Roman" w:hAnsi="Times New Roman" w:cs="Times New Roman"/>
          <w:sz w:val="24"/>
          <w:szCs w:val="24"/>
        </w:rPr>
        <w:t>,</w:t>
      </w:r>
    </w:p>
    <w:p w14:paraId="6A23B7CA" w14:textId="77777777" w:rsidR="008C7C1E" w:rsidRPr="004A6E37" w:rsidRDefault="00D80E6B"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w:t>
      </w:r>
      <w:r w:rsidR="0086758F" w:rsidRPr="004A6E37">
        <w:rPr>
          <w:rFonts w:ascii="Times New Roman" w:eastAsia="Times New Roman" w:hAnsi="Times New Roman" w:cs="Times New Roman"/>
          <w:sz w:val="24"/>
          <w:szCs w:val="24"/>
        </w:rPr>
        <w:t>es informations recueillies auprès des acteurs du secteur privé donnent un niveau de menace faible</w:t>
      </w:r>
      <w:r w:rsidR="007C4B3F" w:rsidRPr="004A6E37">
        <w:rPr>
          <w:rFonts w:ascii="Times New Roman" w:eastAsia="Times New Roman" w:hAnsi="Times New Roman" w:cs="Times New Roman"/>
          <w:sz w:val="24"/>
          <w:szCs w:val="24"/>
        </w:rPr>
        <w:t>.</w:t>
      </w:r>
    </w:p>
    <w:p w14:paraId="774EA9F4" w14:textId="77777777" w:rsidR="0086758F" w:rsidRPr="004A6E37" w:rsidRDefault="0086758F" w:rsidP="00020944">
      <w:pPr>
        <w:pStyle w:val="En-tte"/>
        <w:spacing w:line="360" w:lineRule="auto"/>
        <w:ind w:left="1004"/>
        <w:jc w:val="both"/>
        <w:rPr>
          <w:rFonts w:ascii="Times New Roman" w:eastAsia="Times New Roman" w:hAnsi="Times New Roman" w:cs="Times New Roman"/>
          <w:sz w:val="10"/>
          <w:szCs w:val="24"/>
        </w:rPr>
      </w:pPr>
    </w:p>
    <w:p w14:paraId="1FDAF339" w14:textId="77777777" w:rsidR="00D6597C" w:rsidRPr="004A6E37" w:rsidRDefault="00D6597C" w:rsidP="00020944">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CAS n°</w:t>
      </w:r>
      <w:r w:rsidR="005F16A9" w:rsidRPr="004A6E37">
        <w:rPr>
          <w:rFonts w:ascii="Times New Roman" w:eastAsia="Times New Roman" w:hAnsi="Times New Roman" w:cs="Times New Roman"/>
          <w:b/>
          <w:sz w:val="24"/>
          <w:szCs w:val="24"/>
        </w:rPr>
        <w:t>1</w:t>
      </w:r>
    </w:p>
    <w:p w14:paraId="2DB195AB" w14:textId="77777777" w:rsidR="00967D29" w:rsidRPr="004A6E37" w:rsidRDefault="008C7C1E" w:rsidP="00020944">
      <w:pPr>
        <w:spacing w:after="200"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w:t>
      </w:r>
      <w:r w:rsidR="00967D29" w:rsidRPr="004A6E37">
        <w:rPr>
          <w:rFonts w:ascii="Times New Roman" w:eastAsia="Calibri" w:hAnsi="Times New Roman" w:cs="Times New Roman"/>
          <w:sz w:val="24"/>
          <w:szCs w:val="24"/>
        </w:rPr>
        <w:t xml:space="preserve">a </w:t>
      </w:r>
      <w:r w:rsidR="0027572A" w:rsidRPr="004A6E37">
        <w:rPr>
          <w:rFonts w:ascii="Times New Roman" w:eastAsia="Calibri" w:hAnsi="Times New Roman" w:cs="Times New Roman"/>
          <w:bCs/>
          <w:sz w:val="24"/>
          <w:szCs w:val="24"/>
        </w:rPr>
        <w:t>société immobilière</w:t>
      </w:r>
      <w:r w:rsidR="00C975C8" w:rsidRPr="004A6E37">
        <w:rPr>
          <w:rFonts w:ascii="Times New Roman" w:eastAsia="Calibri" w:hAnsi="Times New Roman" w:cs="Times New Roman"/>
          <w:bCs/>
          <w:sz w:val="24"/>
          <w:szCs w:val="24"/>
        </w:rPr>
        <w:t xml:space="preserve"> «</w:t>
      </w:r>
      <w:r w:rsidR="0027572A" w:rsidRPr="004A6E37">
        <w:rPr>
          <w:rFonts w:ascii="Times New Roman" w:eastAsia="Calibri" w:hAnsi="Times New Roman" w:cs="Times New Roman"/>
          <w:sz w:val="24"/>
          <w:szCs w:val="24"/>
        </w:rPr>
        <w:t>A</w:t>
      </w:r>
      <w:r w:rsidR="00967D29" w:rsidRPr="004A6E37">
        <w:rPr>
          <w:rFonts w:ascii="Times New Roman" w:eastAsia="Calibri" w:hAnsi="Times New Roman" w:cs="Times New Roman"/>
          <w:sz w:val="24"/>
          <w:szCs w:val="24"/>
        </w:rPr>
        <w:t xml:space="preserve">K» a reçu un virement d’un montant </w:t>
      </w:r>
      <w:r w:rsidR="00334D2A" w:rsidRPr="004A6E37">
        <w:rPr>
          <w:rFonts w:ascii="Times New Roman" w:eastAsia="Calibri" w:hAnsi="Times New Roman" w:cs="Times New Roman"/>
          <w:sz w:val="24"/>
          <w:szCs w:val="24"/>
        </w:rPr>
        <w:t xml:space="preserve">équivalent </w:t>
      </w:r>
      <w:r w:rsidR="00376715" w:rsidRPr="004A6E37">
        <w:rPr>
          <w:rFonts w:ascii="Times New Roman" w:eastAsia="Calibri" w:hAnsi="Times New Roman" w:cs="Times New Roman"/>
          <w:sz w:val="24"/>
          <w:szCs w:val="24"/>
        </w:rPr>
        <w:t xml:space="preserve">de </w:t>
      </w:r>
      <w:r w:rsidR="00EE785A" w:rsidRPr="004A6E37">
        <w:rPr>
          <w:rFonts w:ascii="Times New Roman" w:eastAsia="Calibri" w:hAnsi="Times New Roman" w:cs="Times New Roman"/>
          <w:sz w:val="24"/>
          <w:szCs w:val="24"/>
        </w:rPr>
        <w:t>cinq millions</w:t>
      </w:r>
      <w:r w:rsidR="00967D29" w:rsidRPr="004A6E37">
        <w:rPr>
          <w:rFonts w:ascii="Times New Roman" w:eastAsia="Calibri" w:hAnsi="Times New Roman" w:cs="Times New Roman"/>
          <w:sz w:val="24"/>
          <w:szCs w:val="24"/>
        </w:rPr>
        <w:t xml:space="preserve"> cinq cent mille</w:t>
      </w:r>
      <w:r w:rsidR="00EE785A" w:rsidRPr="004A6E37">
        <w:rPr>
          <w:rFonts w:ascii="Times New Roman" w:eastAsia="Calibri" w:hAnsi="Times New Roman" w:cs="Times New Roman"/>
          <w:sz w:val="24"/>
          <w:szCs w:val="24"/>
        </w:rPr>
        <w:t xml:space="preserve"> (5, 500 millions</w:t>
      </w:r>
      <w:r w:rsidR="00967D29" w:rsidRPr="004A6E37">
        <w:rPr>
          <w:rFonts w:ascii="Times New Roman" w:eastAsia="Calibri" w:hAnsi="Times New Roman" w:cs="Times New Roman"/>
          <w:sz w:val="24"/>
          <w:szCs w:val="24"/>
        </w:rPr>
        <w:t>) Euro</w:t>
      </w:r>
      <w:r w:rsidR="00CF3466" w:rsidRPr="004A6E37">
        <w:rPr>
          <w:rFonts w:ascii="Times New Roman" w:eastAsia="Calibri" w:hAnsi="Times New Roman" w:cs="Times New Roman"/>
          <w:sz w:val="24"/>
          <w:szCs w:val="24"/>
        </w:rPr>
        <w:t xml:space="preserve">. </w:t>
      </w:r>
      <w:r w:rsidR="00967D29" w:rsidRPr="004A6E37">
        <w:rPr>
          <w:rFonts w:ascii="Times New Roman" w:eastAsia="Calibri" w:hAnsi="Times New Roman" w:cs="Times New Roman"/>
          <w:sz w:val="24"/>
          <w:szCs w:val="24"/>
        </w:rPr>
        <w:t xml:space="preserve">Pour  justifier cette opération inhabituelle, la société </w:t>
      </w:r>
      <w:r w:rsidR="00072873" w:rsidRPr="004A6E37">
        <w:rPr>
          <w:rFonts w:ascii="Times New Roman" w:eastAsia="Calibri" w:hAnsi="Times New Roman" w:cs="Times New Roman"/>
          <w:sz w:val="24"/>
          <w:szCs w:val="24"/>
        </w:rPr>
        <w:t>a produit quatre (04)</w:t>
      </w:r>
      <w:r w:rsidR="00967D29" w:rsidRPr="004A6E37">
        <w:rPr>
          <w:rFonts w:ascii="Times New Roman" w:eastAsia="Calibri" w:hAnsi="Times New Roman" w:cs="Times New Roman"/>
          <w:sz w:val="24"/>
          <w:szCs w:val="24"/>
        </w:rPr>
        <w:t xml:space="preserve"> titres fonciers. Ce motif ainsi évoqué n’est pas en adéquation avec le montant en jeu.</w:t>
      </w:r>
    </w:p>
    <w:p w14:paraId="10C7914C" w14:textId="77777777" w:rsidR="00967D29" w:rsidRPr="004A6E37" w:rsidRDefault="001419D9" w:rsidP="00020944">
      <w:pPr>
        <w:widowControl w:val="0"/>
        <w:suppressAutoHyphens/>
        <w:spacing w:after="120" w:line="360" w:lineRule="auto"/>
        <w:jc w:val="both"/>
        <w:rPr>
          <w:rFonts w:ascii="Times New Roman" w:eastAsia="Arial Unicode MS" w:hAnsi="Times New Roman" w:cs="Times New Roman"/>
          <w:bCs/>
          <w:sz w:val="24"/>
          <w:szCs w:val="24"/>
          <w:lang w:eastAsia="fr-FR" w:bidi="en-US"/>
        </w:rPr>
      </w:pPr>
      <w:r w:rsidRPr="004A6E37">
        <w:rPr>
          <w:rFonts w:ascii="Times New Roman" w:eastAsia="Arial Unicode MS" w:hAnsi="Times New Roman" w:cs="Times New Roman"/>
          <w:sz w:val="24"/>
          <w:szCs w:val="24"/>
          <w:lang w:eastAsia="fr-FR" w:bidi="en-US"/>
        </w:rPr>
        <w:t>L’analyse constate que le</w:t>
      </w:r>
      <w:r w:rsidR="00115284" w:rsidRPr="004A6E37">
        <w:rPr>
          <w:rFonts w:ascii="Times New Roman" w:eastAsia="Arial Unicode MS" w:hAnsi="Times New Roman" w:cs="Times New Roman"/>
          <w:sz w:val="24"/>
          <w:szCs w:val="24"/>
          <w:lang w:eastAsia="fr-FR" w:bidi="en-US"/>
        </w:rPr>
        <w:t xml:space="preserve"> compte bancaire de la </w:t>
      </w:r>
      <w:r w:rsidR="00072873" w:rsidRPr="004A6E37">
        <w:rPr>
          <w:rFonts w:ascii="Times New Roman" w:eastAsia="Arial Unicode MS" w:hAnsi="Times New Roman" w:cs="Times New Roman"/>
          <w:sz w:val="24"/>
          <w:szCs w:val="24"/>
          <w:lang w:eastAsia="fr-FR" w:bidi="en-US"/>
        </w:rPr>
        <w:t>société A</w:t>
      </w:r>
      <w:r w:rsidR="00115284" w:rsidRPr="004A6E37">
        <w:rPr>
          <w:rFonts w:ascii="Times New Roman" w:eastAsia="Arial Unicode MS" w:hAnsi="Times New Roman" w:cs="Times New Roman"/>
          <w:sz w:val="24"/>
          <w:szCs w:val="24"/>
          <w:lang w:eastAsia="fr-FR" w:bidi="en-US"/>
        </w:rPr>
        <w:t xml:space="preserve">K </w:t>
      </w:r>
      <w:r w:rsidR="00967D29" w:rsidRPr="004A6E37">
        <w:rPr>
          <w:rFonts w:ascii="Times New Roman" w:eastAsia="Arial Unicode MS" w:hAnsi="Times New Roman" w:cs="Times New Roman"/>
          <w:sz w:val="24"/>
          <w:szCs w:val="24"/>
          <w:lang w:eastAsia="fr-FR" w:bidi="en-US"/>
        </w:rPr>
        <w:t xml:space="preserve">a enregistré </w:t>
      </w:r>
      <w:r w:rsidR="002A69B1" w:rsidRPr="004A6E37">
        <w:rPr>
          <w:rFonts w:ascii="Times New Roman" w:eastAsia="Arial Unicode MS" w:hAnsi="Times New Roman" w:cs="Times New Roman"/>
          <w:sz w:val="24"/>
          <w:szCs w:val="24"/>
          <w:lang w:eastAsia="fr-FR" w:bidi="en-US"/>
        </w:rPr>
        <w:t>ce</w:t>
      </w:r>
      <w:r w:rsidR="00967D29" w:rsidRPr="004A6E37">
        <w:rPr>
          <w:rFonts w:ascii="Times New Roman" w:eastAsia="Arial Unicode MS" w:hAnsi="Times New Roman" w:cs="Times New Roman"/>
          <w:sz w:val="24"/>
          <w:szCs w:val="24"/>
          <w:lang w:eastAsia="fr-FR" w:bidi="en-US"/>
        </w:rPr>
        <w:t xml:space="preserve"> flux financier inhabituel  de </w:t>
      </w:r>
      <w:r w:rsidR="00967D29" w:rsidRPr="004A6E37">
        <w:rPr>
          <w:rFonts w:ascii="Times New Roman" w:eastAsia="Arial Unicode MS" w:hAnsi="Times New Roman" w:cs="Times New Roman"/>
          <w:sz w:val="24"/>
          <w:szCs w:val="24"/>
          <w:lang w:eastAsia="fr-FR"/>
        </w:rPr>
        <w:t xml:space="preserve">3 642 561 284 </w:t>
      </w:r>
      <w:r w:rsidR="00967D29" w:rsidRPr="004A6E37">
        <w:rPr>
          <w:rFonts w:ascii="Times New Roman" w:eastAsia="Arial Unicode MS" w:hAnsi="Times New Roman" w:cs="Times New Roman"/>
          <w:sz w:val="24"/>
          <w:szCs w:val="24"/>
          <w:lang w:eastAsia="fr-FR" w:bidi="en-US"/>
        </w:rPr>
        <w:t>FCFA,</w:t>
      </w:r>
      <w:r w:rsidR="00967D29" w:rsidRPr="004A6E37">
        <w:rPr>
          <w:rFonts w:ascii="Times New Roman" w:eastAsia="Times New Roman" w:hAnsi="Times New Roman" w:cs="Times New Roman"/>
          <w:sz w:val="24"/>
          <w:szCs w:val="24"/>
          <w:lang w:eastAsia="fr-FR"/>
        </w:rPr>
        <w:t xml:space="preserve"> </w:t>
      </w:r>
      <w:r w:rsidR="00967D29" w:rsidRPr="004A6E37">
        <w:rPr>
          <w:rFonts w:ascii="Times New Roman" w:eastAsia="Arial Unicode MS" w:hAnsi="Times New Roman" w:cs="Times New Roman"/>
          <w:sz w:val="24"/>
          <w:szCs w:val="24"/>
          <w:lang w:eastAsia="fr-FR" w:bidi="en-US"/>
        </w:rPr>
        <w:t>sans justification économique satisfaisante. Cette transaction suspecte qui serait le fruit d’une vente de quatre parcelles qui n’est suborné à aucun contrat</w:t>
      </w:r>
      <w:r w:rsidR="00967D29" w:rsidRPr="004A6E37">
        <w:rPr>
          <w:rFonts w:ascii="Times New Roman" w:eastAsia="Arial Unicode MS" w:hAnsi="Times New Roman" w:cs="Times New Roman"/>
          <w:bCs/>
          <w:sz w:val="24"/>
          <w:szCs w:val="24"/>
          <w:lang w:eastAsia="fr-FR" w:bidi="en-US"/>
        </w:rPr>
        <w:t>. Ce qui est en inadéquation avec le montant en jeu.</w:t>
      </w:r>
    </w:p>
    <w:p w14:paraId="531DD1B9" w14:textId="77777777" w:rsidR="00967D29" w:rsidRPr="004A6E37" w:rsidRDefault="00967D29" w:rsidP="00020944">
      <w:pPr>
        <w:widowControl w:val="0"/>
        <w:suppressAutoHyphens/>
        <w:spacing w:after="120" w:line="360" w:lineRule="auto"/>
        <w:jc w:val="both"/>
        <w:rPr>
          <w:rFonts w:ascii="Times New Roman" w:eastAsia="Arial Unicode MS" w:hAnsi="Times New Roman" w:cs="Times New Roman"/>
          <w:sz w:val="24"/>
          <w:szCs w:val="24"/>
          <w:lang w:eastAsia="fr-FR" w:bidi="en-US"/>
        </w:rPr>
      </w:pPr>
      <w:r w:rsidRPr="004A6E37">
        <w:rPr>
          <w:rFonts w:ascii="Times New Roman" w:eastAsia="Arial Unicode MS" w:hAnsi="Times New Roman" w:cs="Times New Roman"/>
          <w:bCs/>
          <w:sz w:val="24"/>
          <w:szCs w:val="24"/>
          <w:lang w:eastAsia="fr-FR" w:bidi="en-US"/>
        </w:rPr>
        <w:t>En quinze (15) années d’activités</w:t>
      </w:r>
      <w:r w:rsidR="004B6EE4" w:rsidRPr="004A6E37">
        <w:rPr>
          <w:rFonts w:ascii="Times New Roman" w:eastAsia="Arial Unicode MS" w:hAnsi="Times New Roman" w:cs="Times New Roman"/>
          <w:bCs/>
          <w:sz w:val="24"/>
          <w:szCs w:val="24"/>
          <w:lang w:eastAsia="fr-FR" w:bidi="en-US"/>
        </w:rPr>
        <w:t>,</w:t>
      </w:r>
      <w:r w:rsidRPr="004A6E37">
        <w:rPr>
          <w:rFonts w:ascii="Times New Roman" w:eastAsia="Arial Unicode MS" w:hAnsi="Times New Roman" w:cs="Times New Roman"/>
          <w:bCs/>
          <w:sz w:val="24"/>
          <w:szCs w:val="24"/>
          <w:lang w:eastAsia="fr-FR" w:bidi="en-US"/>
        </w:rPr>
        <w:t xml:space="preserve"> ladite société n’a jamais reçu un montant aussi élevé, </w:t>
      </w:r>
      <w:r w:rsidR="004B6EE4" w:rsidRPr="004A6E37">
        <w:rPr>
          <w:rFonts w:ascii="Times New Roman" w:eastAsia="Arial Unicode MS" w:hAnsi="Times New Roman" w:cs="Times New Roman"/>
          <w:bCs/>
          <w:sz w:val="24"/>
          <w:szCs w:val="24"/>
          <w:lang w:eastAsia="fr-FR" w:bidi="en-US"/>
        </w:rPr>
        <w:t xml:space="preserve">de </w:t>
      </w:r>
      <w:r w:rsidRPr="004A6E37">
        <w:rPr>
          <w:rFonts w:ascii="Times New Roman" w:eastAsia="Arial Unicode MS" w:hAnsi="Times New Roman" w:cs="Times New Roman"/>
          <w:bCs/>
          <w:sz w:val="24"/>
          <w:szCs w:val="24"/>
          <w:lang w:eastAsia="fr-FR" w:bidi="en-US"/>
        </w:rPr>
        <w:t>surcroit en une seule opération et sans motif économique apparent.</w:t>
      </w:r>
    </w:p>
    <w:p w14:paraId="3A037A21" w14:textId="77777777" w:rsidR="00967D29" w:rsidRPr="004A6E37" w:rsidRDefault="00967D29" w:rsidP="00020944">
      <w:pPr>
        <w:widowControl w:val="0"/>
        <w:suppressAutoHyphens/>
        <w:spacing w:after="120" w:line="360" w:lineRule="auto"/>
        <w:jc w:val="both"/>
        <w:rPr>
          <w:rFonts w:ascii="Times New Roman" w:eastAsia="Arial Unicode MS" w:hAnsi="Times New Roman" w:cs="Times New Roman"/>
          <w:sz w:val="24"/>
          <w:szCs w:val="24"/>
          <w:lang w:eastAsia="fr-FR" w:bidi="en-US"/>
        </w:rPr>
      </w:pPr>
      <w:r w:rsidRPr="004A6E37">
        <w:rPr>
          <w:rFonts w:ascii="Times New Roman" w:eastAsia="Arial Unicode MS" w:hAnsi="Times New Roman" w:cs="Times New Roman"/>
          <w:sz w:val="24"/>
          <w:szCs w:val="24"/>
          <w:lang w:eastAsia="fr-FR" w:bidi="en-US"/>
        </w:rPr>
        <w:t>Dans le cas de l’espèce</w:t>
      </w:r>
      <w:r w:rsidR="002B3FC8" w:rsidRPr="004A6E37">
        <w:rPr>
          <w:rFonts w:ascii="Times New Roman" w:eastAsia="Arial Unicode MS" w:hAnsi="Times New Roman" w:cs="Times New Roman"/>
          <w:sz w:val="24"/>
          <w:szCs w:val="24"/>
          <w:lang w:eastAsia="fr-FR" w:bidi="en-US"/>
        </w:rPr>
        <w:t>,</w:t>
      </w:r>
      <w:r w:rsidRPr="004A6E37">
        <w:rPr>
          <w:rFonts w:ascii="Times New Roman" w:eastAsia="Arial Unicode MS" w:hAnsi="Times New Roman" w:cs="Times New Roman"/>
          <w:sz w:val="24"/>
          <w:szCs w:val="24"/>
          <w:lang w:eastAsia="fr-FR" w:bidi="en-US"/>
        </w:rPr>
        <w:t xml:space="preserve"> on relève l’inexistence de supports sérieux et probants de nature à justifier la transaction immobilière concernée.</w:t>
      </w:r>
    </w:p>
    <w:p w14:paraId="32710840" w14:textId="77777777" w:rsidR="00967D29" w:rsidRPr="004A6E37" w:rsidRDefault="00967D29" w:rsidP="00020944">
      <w:pPr>
        <w:spacing w:after="200" w:line="360" w:lineRule="auto"/>
        <w:jc w:val="both"/>
        <w:rPr>
          <w:rFonts w:ascii="Times New Roman" w:eastAsia="Calibri" w:hAnsi="Times New Roman" w:cs="Times New Roman"/>
          <w:b/>
          <w:sz w:val="24"/>
          <w:szCs w:val="24"/>
        </w:rPr>
      </w:pPr>
      <w:r w:rsidRPr="004A6E37">
        <w:rPr>
          <w:rFonts w:ascii="Times New Roman" w:eastAsia="Calibri" w:hAnsi="Times New Roman" w:cs="Times New Roman"/>
          <w:b/>
          <w:sz w:val="24"/>
          <w:szCs w:val="24"/>
          <w:u w:val="single"/>
        </w:rPr>
        <w:t>Critères d’alerte ou indices de BC</w:t>
      </w:r>
      <w:r w:rsidR="00AE0A46" w:rsidRPr="004A6E37">
        <w:rPr>
          <w:rFonts w:ascii="Times New Roman" w:eastAsia="Calibri" w:hAnsi="Times New Roman" w:cs="Times New Roman"/>
          <w:b/>
          <w:sz w:val="24"/>
          <w:szCs w:val="24"/>
          <w:u w:val="single"/>
        </w:rPr>
        <w:t>/FT</w:t>
      </w:r>
      <w:r w:rsidRPr="004A6E37">
        <w:rPr>
          <w:rFonts w:ascii="Times New Roman" w:eastAsia="Calibri" w:hAnsi="Times New Roman" w:cs="Times New Roman"/>
          <w:b/>
          <w:sz w:val="24"/>
          <w:szCs w:val="24"/>
        </w:rPr>
        <w:t> :</w:t>
      </w:r>
    </w:p>
    <w:p w14:paraId="355644EF" w14:textId="77777777" w:rsidR="00967D29" w:rsidRPr="004A6E37" w:rsidRDefault="008F17B0"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v</w:t>
      </w:r>
      <w:r w:rsidR="00967D29" w:rsidRPr="004A6E37">
        <w:rPr>
          <w:rFonts w:ascii="Times New Roman" w:eastAsia="Times New Roman" w:hAnsi="Times New Roman" w:cs="Times New Roman"/>
          <w:sz w:val="24"/>
          <w:szCs w:val="24"/>
        </w:rPr>
        <w:t xml:space="preserve">irement  inhabituel de 3 642 561 284 FCFA sur le compte de la société </w:t>
      </w:r>
      <w:r w:rsidR="004D428F" w:rsidRPr="004A6E37">
        <w:rPr>
          <w:rFonts w:ascii="Times New Roman" w:eastAsia="Times New Roman" w:hAnsi="Times New Roman" w:cs="Times New Roman"/>
          <w:sz w:val="24"/>
          <w:szCs w:val="24"/>
        </w:rPr>
        <w:t>AK</w:t>
      </w:r>
      <w:r w:rsidR="00967D29" w:rsidRPr="004A6E37">
        <w:rPr>
          <w:rFonts w:ascii="Times New Roman" w:eastAsia="Times New Roman" w:hAnsi="Times New Roman" w:cs="Times New Roman"/>
          <w:sz w:val="24"/>
          <w:szCs w:val="24"/>
        </w:rPr>
        <w:t>,</w:t>
      </w:r>
    </w:p>
    <w:p w14:paraId="499F5BD1" w14:textId="77777777" w:rsidR="00967D29" w:rsidRPr="004A6E37" w:rsidRDefault="00967D29"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 l’absence de contrats de vente en lien avec les titres foncier com</w:t>
      </w:r>
      <w:r w:rsidR="00591916" w:rsidRPr="004A6E37">
        <w:rPr>
          <w:rFonts w:ascii="Times New Roman" w:eastAsia="Times New Roman" w:hAnsi="Times New Roman" w:cs="Times New Roman"/>
          <w:sz w:val="24"/>
          <w:szCs w:val="24"/>
        </w:rPr>
        <w:t>me justificatifs de l’opération,</w:t>
      </w:r>
    </w:p>
    <w:p w14:paraId="01923659" w14:textId="77777777" w:rsidR="00967D29" w:rsidRPr="004A6E37" w:rsidRDefault="008F17B0" w:rsidP="00920BFE">
      <w:pPr>
        <w:pStyle w:val="En-tte"/>
        <w:numPr>
          <w:ilvl w:val="0"/>
          <w:numId w:val="34"/>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o</w:t>
      </w:r>
      <w:r w:rsidR="00967D29" w:rsidRPr="004A6E37">
        <w:rPr>
          <w:rFonts w:ascii="Times New Roman" w:eastAsia="Times New Roman" w:hAnsi="Times New Roman" w:cs="Times New Roman"/>
          <w:sz w:val="24"/>
          <w:szCs w:val="24"/>
        </w:rPr>
        <w:t>rigine et destination douteuse des fonds.</w:t>
      </w:r>
    </w:p>
    <w:p w14:paraId="613BAA81" w14:textId="77777777" w:rsidR="00967D29" w:rsidRPr="004A6E37" w:rsidRDefault="00967D29" w:rsidP="00020944">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lastRenderedPageBreak/>
        <w:t xml:space="preserve">Cas n°2 </w:t>
      </w:r>
    </w:p>
    <w:p w14:paraId="4908FD37" w14:textId="77777777" w:rsidR="00D8613A" w:rsidRPr="004A6E37" w:rsidRDefault="00D8613A" w:rsidP="00020944">
      <w:pPr>
        <w:spacing w:line="360" w:lineRule="auto"/>
        <w:rPr>
          <w:rFonts w:ascii="Times New Roman" w:eastAsia="Times New Roman" w:hAnsi="Times New Roman" w:cs="Times New Roman"/>
          <w:b/>
          <w:sz w:val="24"/>
          <w:szCs w:val="24"/>
          <w:lang w:eastAsia="fr-FR" w:bidi="en-US"/>
        </w:rPr>
      </w:pPr>
      <w:r w:rsidRPr="004A6E37">
        <w:rPr>
          <w:rFonts w:ascii="Times New Roman" w:eastAsia="Times New Roman" w:hAnsi="Times New Roman" w:cs="Times New Roman"/>
          <w:b/>
          <w:sz w:val="24"/>
          <w:szCs w:val="24"/>
          <w:lang w:eastAsia="fr-FR" w:bidi="en-US"/>
        </w:rPr>
        <w:t xml:space="preserve">Blanchiment des produits du trafic de drogue par le biais du secteur immobilier </w:t>
      </w:r>
    </w:p>
    <w:p w14:paraId="78E710ED" w14:textId="77777777" w:rsidR="00D8613A" w:rsidRPr="004A6E37" w:rsidRDefault="008A52D9" w:rsidP="00020944">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sz w:val="24"/>
          <w:szCs w:val="24"/>
          <w:lang w:eastAsia="fr-FR" w:bidi="en-US"/>
        </w:rPr>
        <w:t>M.</w:t>
      </w:r>
      <w:r w:rsidR="00D8613A" w:rsidRPr="004A6E37">
        <w:rPr>
          <w:rFonts w:ascii="Times New Roman" w:eastAsia="Times New Roman" w:hAnsi="Times New Roman" w:cs="Times New Roman"/>
          <w:sz w:val="24"/>
          <w:szCs w:val="24"/>
          <w:lang w:eastAsia="fr-FR" w:bidi="en-US"/>
        </w:rPr>
        <w:t xml:space="preserve">A, qui vit dans une ville portuaire d’un pays de l’Afrique de l’Ouest, est surtout connu comme </w:t>
      </w:r>
      <w:r w:rsidR="005A5FDA" w:rsidRPr="004A6E37">
        <w:rPr>
          <w:rFonts w:ascii="Times New Roman" w:eastAsia="Times New Roman" w:hAnsi="Times New Roman" w:cs="Times New Roman"/>
          <w:sz w:val="24"/>
          <w:szCs w:val="24"/>
          <w:lang w:eastAsia="fr-FR" w:bidi="en-US"/>
        </w:rPr>
        <w:t xml:space="preserve">un </w:t>
      </w:r>
      <w:r w:rsidR="00D8613A" w:rsidRPr="004A6E37">
        <w:rPr>
          <w:rFonts w:ascii="Times New Roman" w:eastAsia="Times New Roman" w:hAnsi="Times New Roman" w:cs="Times New Roman"/>
          <w:sz w:val="24"/>
          <w:szCs w:val="24"/>
          <w:lang w:eastAsia="fr-FR" w:bidi="en-US"/>
        </w:rPr>
        <w:t xml:space="preserve">homme d’affaires et a des relations commerciales et politiques très influentes. Il importe des </w:t>
      </w:r>
      <w:r w:rsidR="00CF55D8" w:rsidRPr="004A6E37">
        <w:rPr>
          <w:rFonts w:ascii="Times New Roman" w:eastAsia="Times New Roman" w:hAnsi="Times New Roman" w:cs="Times New Roman"/>
          <w:sz w:val="24"/>
          <w:szCs w:val="24"/>
          <w:lang w:eastAsia="fr-FR" w:bidi="en-US"/>
        </w:rPr>
        <w:t xml:space="preserve">camions d’Europe et de Russie. Il </w:t>
      </w:r>
      <w:r w:rsidR="00D8613A" w:rsidRPr="004A6E37">
        <w:rPr>
          <w:rFonts w:ascii="Times New Roman" w:eastAsia="Times New Roman" w:hAnsi="Times New Roman" w:cs="Times New Roman"/>
          <w:sz w:val="24"/>
          <w:szCs w:val="24"/>
          <w:lang w:eastAsia="fr-FR" w:bidi="en-US"/>
        </w:rPr>
        <w:t>possède plusieurs navires de pêche dont les pri</w:t>
      </w:r>
      <w:r w:rsidRPr="004A6E37">
        <w:rPr>
          <w:rFonts w:ascii="Times New Roman" w:eastAsia="Times New Roman" w:hAnsi="Times New Roman" w:cs="Times New Roman"/>
          <w:sz w:val="24"/>
          <w:szCs w:val="24"/>
          <w:lang w:eastAsia="fr-FR" w:bidi="en-US"/>
        </w:rPr>
        <w:t xml:space="preserve">ses sont vendues dans le pays </w:t>
      </w:r>
      <w:r w:rsidR="004051B3" w:rsidRPr="004A6E37">
        <w:rPr>
          <w:rFonts w:ascii="Times New Roman" w:eastAsia="Times New Roman" w:hAnsi="Times New Roman" w:cs="Times New Roman"/>
          <w:sz w:val="24"/>
          <w:szCs w:val="24"/>
          <w:lang w:eastAsia="fr-FR" w:bidi="en-US"/>
        </w:rPr>
        <w:t>où</w:t>
      </w:r>
      <w:r w:rsidR="00D8613A" w:rsidRPr="004A6E37">
        <w:rPr>
          <w:rFonts w:ascii="Times New Roman" w:eastAsia="Times New Roman" w:hAnsi="Times New Roman" w:cs="Times New Roman"/>
          <w:sz w:val="24"/>
          <w:szCs w:val="24"/>
          <w:lang w:eastAsia="fr-FR" w:bidi="en-US"/>
        </w:rPr>
        <w:t xml:space="preserve"> exportées. Grace à ses relations, il bénéficie d’une protection politique et dans le domaine de la sécurité. Il est également connu comme bailleur de fonds d’un important parti politique du pays. Il a récemment été établ</w:t>
      </w:r>
      <w:r w:rsidR="00E2302D" w:rsidRPr="004A6E37">
        <w:rPr>
          <w:rFonts w:ascii="Times New Roman" w:eastAsia="Times New Roman" w:hAnsi="Times New Roman" w:cs="Times New Roman"/>
          <w:sz w:val="24"/>
          <w:szCs w:val="24"/>
          <w:lang w:eastAsia="fr-FR" w:bidi="en-US"/>
        </w:rPr>
        <w:t>i l’existence de liens entre M.</w:t>
      </w:r>
      <w:r w:rsidR="00D8613A" w:rsidRPr="004A6E37">
        <w:rPr>
          <w:rFonts w:ascii="Times New Roman" w:eastAsia="Times New Roman" w:hAnsi="Times New Roman" w:cs="Times New Roman"/>
          <w:sz w:val="24"/>
          <w:szCs w:val="24"/>
          <w:lang w:eastAsia="fr-FR" w:bidi="en-US"/>
        </w:rPr>
        <w:t>A et de célèbres barons de la drogue en Amérique du Sud et en Europe. Il utilisait ses navires de pêche pour importer de la drogue dans le pays en passant par le port de pêche. La drogue était généralement conditionnée dans des cartons, comme le poisson, et mélangée au poisson congelé. Elle réussissait ainsi à passer facilement les contrôles de sécurité portuaires pour pénétrer dans le pays avant d’être exportée vers d’autres parties du monde</w:t>
      </w:r>
      <w:r w:rsidR="00235F3D" w:rsidRPr="004A6E37">
        <w:rPr>
          <w:rFonts w:ascii="Times New Roman" w:eastAsia="Times New Roman" w:hAnsi="Times New Roman" w:cs="Times New Roman"/>
          <w:sz w:val="24"/>
          <w:szCs w:val="24"/>
          <w:lang w:eastAsia="fr-FR" w:bidi="en-US"/>
        </w:rPr>
        <w:t xml:space="preserve"> sans éveiller les soupçons. M.</w:t>
      </w:r>
      <w:r w:rsidR="00D8613A" w:rsidRPr="004A6E37">
        <w:rPr>
          <w:rFonts w:ascii="Times New Roman" w:eastAsia="Times New Roman" w:hAnsi="Times New Roman" w:cs="Times New Roman"/>
          <w:sz w:val="24"/>
          <w:szCs w:val="24"/>
          <w:lang w:eastAsia="fr-FR" w:bidi="en-US"/>
        </w:rPr>
        <w:t>A a pénétré le secteur de la promotion immobilière comme un investisseur anonyme, c’est-à-dire par l’intermédiaire de prête-noms et construit des immeubles à usage de bureau et des galeries marchandes dans un emplacement de choix de la ville. C’est grâce à la collaboration entre services de renseignements au niveau international que l’un de ses navires a été saisi dans les eaux territoriales du pays avec une grande qua</w:t>
      </w:r>
      <w:r w:rsidR="00235F3D" w:rsidRPr="004A6E37">
        <w:rPr>
          <w:rFonts w:ascii="Times New Roman" w:eastAsia="Times New Roman" w:hAnsi="Times New Roman" w:cs="Times New Roman"/>
          <w:sz w:val="24"/>
          <w:szCs w:val="24"/>
          <w:lang w:eastAsia="fr-FR" w:bidi="en-US"/>
        </w:rPr>
        <w:t>ntité de cocaïne à son bord. M.</w:t>
      </w:r>
      <w:r w:rsidR="00D8613A" w:rsidRPr="004A6E37">
        <w:rPr>
          <w:rFonts w:ascii="Times New Roman" w:eastAsia="Times New Roman" w:hAnsi="Times New Roman" w:cs="Times New Roman"/>
          <w:sz w:val="24"/>
          <w:szCs w:val="24"/>
          <w:lang w:eastAsia="fr-FR" w:bidi="en-US"/>
        </w:rPr>
        <w:t>A a été alors arrêté avec d’autres complices. Il a été jugé, reconnu coupable et condamné à une peine de prison pour possession et trafic de drogue dure (cocaïne).</w:t>
      </w:r>
    </w:p>
    <w:p w14:paraId="53814E28" w14:textId="77777777" w:rsidR="00F75594" w:rsidRPr="004A6E37" w:rsidRDefault="00D8613A" w:rsidP="00020944">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b/>
          <w:sz w:val="24"/>
          <w:szCs w:val="24"/>
          <w:lang w:eastAsia="fr-FR" w:bidi="en-US"/>
        </w:rPr>
        <w:t xml:space="preserve">Infraction principale </w:t>
      </w:r>
      <w:r w:rsidRPr="004A6E37">
        <w:rPr>
          <w:rFonts w:ascii="Times New Roman" w:eastAsia="Times New Roman" w:hAnsi="Times New Roman" w:cs="Times New Roman"/>
          <w:sz w:val="24"/>
          <w:szCs w:val="24"/>
          <w:lang w:eastAsia="fr-FR" w:bidi="en-US"/>
        </w:rPr>
        <w:t xml:space="preserve">: trafic de drogue </w:t>
      </w:r>
    </w:p>
    <w:p w14:paraId="22A02A54" w14:textId="77777777" w:rsidR="00D8613A" w:rsidRPr="004A6E37" w:rsidRDefault="00D8613A" w:rsidP="00020944">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b/>
          <w:sz w:val="24"/>
          <w:szCs w:val="24"/>
          <w:lang w:eastAsia="fr-FR" w:bidi="en-US"/>
        </w:rPr>
        <w:t xml:space="preserve">Technique </w:t>
      </w:r>
      <w:r w:rsidRPr="004A6E37">
        <w:rPr>
          <w:rFonts w:ascii="Times New Roman" w:eastAsia="Times New Roman" w:hAnsi="Times New Roman" w:cs="Times New Roman"/>
          <w:sz w:val="24"/>
          <w:szCs w:val="24"/>
          <w:lang w:eastAsia="fr-FR" w:bidi="en-US"/>
        </w:rPr>
        <w:t>: Association, utilisation d’une entreprise légale ;</w:t>
      </w:r>
    </w:p>
    <w:p w14:paraId="75848B2A" w14:textId="77777777" w:rsidR="00D8613A" w:rsidRPr="004A6E37" w:rsidRDefault="00D8613A" w:rsidP="00020944">
      <w:pPr>
        <w:spacing w:line="360" w:lineRule="auto"/>
        <w:jc w:val="both"/>
        <w:rPr>
          <w:rFonts w:ascii="Times New Roman" w:eastAsia="Times New Roman" w:hAnsi="Times New Roman" w:cs="Times New Roman"/>
          <w:sz w:val="24"/>
          <w:szCs w:val="24"/>
          <w:lang w:eastAsia="fr-FR" w:bidi="en-US"/>
        </w:rPr>
      </w:pPr>
      <w:r w:rsidRPr="004A6E37">
        <w:rPr>
          <w:rFonts w:ascii="Times New Roman" w:eastAsia="Times New Roman" w:hAnsi="Times New Roman" w:cs="Times New Roman"/>
          <w:b/>
          <w:sz w:val="24"/>
          <w:szCs w:val="24"/>
          <w:lang w:eastAsia="fr-FR" w:bidi="en-US"/>
        </w:rPr>
        <w:t>Mécanisme</w:t>
      </w:r>
      <w:r w:rsidRPr="004A6E37">
        <w:rPr>
          <w:rFonts w:ascii="Times New Roman" w:eastAsia="Times New Roman" w:hAnsi="Times New Roman" w:cs="Times New Roman"/>
          <w:sz w:val="24"/>
          <w:szCs w:val="24"/>
          <w:lang w:eastAsia="fr-FR" w:bidi="en-US"/>
        </w:rPr>
        <w:t xml:space="preserve"> : transactions en espèces et transferts télégraphiques.</w:t>
      </w:r>
    </w:p>
    <w:p w14:paraId="78DBC25D" w14:textId="77777777" w:rsidR="003B61D2" w:rsidRPr="004A6E37" w:rsidRDefault="0086758F" w:rsidP="00020944">
      <w:pPr>
        <w:pStyle w:val="En-tte"/>
        <w:spacing w:line="360" w:lineRule="auto"/>
        <w:jc w:val="both"/>
        <w:rPr>
          <w:rFonts w:ascii="Times New Roman" w:eastAsia="Times New Roman" w:hAnsi="Times New Roman" w:cs="Times New Roman"/>
          <w:b/>
          <w:sz w:val="24"/>
          <w:szCs w:val="24"/>
        </w:rPr>
      </w:pPr>
      <w:r w:rsidRPr="004A6E37">
        <w:rPr>
          <w:rFonts w:ascii="Times New Roman" w:hAnsi="Times New Roman" w:cs="Times New Roman"/>
          <w:b/>
          <w:sz w:val="24"/>
          <w:szCs w:val="24"/>
        </w:rPr>
        <w:t xml:space="preserve">   </w:t>
      </w:r>
      <w:r w:rsidR="007345B1" w:rsidRPr="004A6E37">
        <w:rPr>
          <w:rFonts w:ascii="Times New Roman" w:eastAsia="Times New Roman" w:hAnsi="Times New Roman" w:cs="Times New Roman"/>
          <w:b/>
          <w:sz w:val="24"/>
          <w:szCs w:val="24"/>
        </w:rPr>
        <w:t>2.3</w:t>
      </w:r>
      <w:r w:rsidR="003B61D2" w:rsidRPr="004A6E37">
        <w:rPr>
          <w:rFonts w:ascii="Times New Roman" w:eastAsia="Times New Roman" w:hAnsi="Times New Roman" w:cs="Times New Roman"/>
          <w:b/>
          <w:sz w:val="24"/>
          <w:szCs w:val="24"/>
        </w:rPr>
        <w:t>.2. Vulnérabilités</w:t>
      </w:r>
    </w:p>
    <w:p w14:paraId="21BC7095" w14:textId="77777777" w:rsidR="003B61D2" w:rsidRPr="004A6E37" w:rsidRDefault="003B61D2" w:rsidP="00020944">
      <w:pPr>
        <w:spacing w:line="360" w:lineRule="auto"/>
        <w:jc w:val="both"/>
        <w:rPr>
          <w:rFonts w:ascii="Times New Roman" w:eastAsia="Calibri" w:hAnsi="Times New Roman" w:cs="Times New Roman"/>
          <w:b/>
          <w:sz w:val="24"/>
          <w:szCs w:val="24"/>
        </w:rPr>
      </w:pPr>
      <w:r w:rsidRPr="004A6E37">
        <w:rPr>
          <w:rFonts w:ascii="Times New Roman" w:eastAsia="Calibri" w:hAnsi="Times New Roman" w:cs="Times New Roman"/>
          <w:sz w:val="24"/>
          <w:szCs w:val="24"/>
        </w:rPr>
        <w:t>L’évaluation de la vulnérabilité a été faite par celle des variables de l’outil</w:t>
      </w:r>
      <w:r w:rsidRPr="004A6E37">
        <w:rPr>
          <w:rFonts w:ascii="Times New Roman" w:eastAsia="Calibri" w:hAnsi="Times New Roman" w:cs="Times New Roman"/>
          <w:b/>
          <w:sz w:val="24"/>
          <w:szCs w:val="24"/>
        </w:rPr>
        <w:t>.</w:t>
      </w:r>
    </w:p>
    <w:p w14:paraId="5537D546" w14:textId="77777777" w:rsidR="004051B3" w:rsidRPr="004A6E37" w:rsidRDefault="004051B3" w:rsidP="00020944">
      <w:pPr>
        <w:spacing w:line="360" w:lineRule="auto"/>
        <w:jc w:val="both"/>
        <w:rPr>
          <w:rFonts w:ascii="Times New Roman" w:eastAsia="Calibri" w:hAnsi="Times New Roman" w:cs="Times New Roman"/>
          <w:sz w:val="24"/>
          <w:szCs w:val="24"/>
        </w:rPr>
      </w:pPr>
    </w:p>
    <w:p w14:paraId="59FDD3C4" w14:textId="77777777" w:rsidR="004051B3" w:rsidRPr="004A6E37" w:rsidRDefault="004051B3" w:rsidP="00020944">
      <w:pPr>
        <w:spacing w:line="360" w:lineRule="auto"/>
        <w:jc w:val="both"/>
        <w:rPr>
          <w:rFonts w:ascii="Times New Roman" w:eastAsia="Calibri" w:hAnsi="Times New Roman" w:cs="Times New Roman"/>
          <w:sz w:val="24"/>
          <w:szCs w:val="24"/>
        </w:rPr>
      </w:pPr>
    </w:p>
    <w:p w14:paraId="79B1F146" w14:textId="77777777" w:rsidR="004051B3" w:rsidRPr="004A6E37" w:rsidRDefault="004051B3" w:rsidP="00020944">
      <w:pPr>
        <w:spacing w:line="360" w:lineRule="auto"/>
        <w:jc w:val="both"/>
        <w:rPr>
          <w:rFonts w:ascii="Times New Roman" w:eastAsia="Calibri" w:hAnsi="Times New Roman" w:cs="Times New Roman"/>
          <w:sz w:val="24"/>
          <w:szCs w:val="24"/>
        </w:rPr>
      </w:pPr>
    </w:p>
    <w:p w14:paraId="3A81F9EC" w14:textId="77777777" w:rsidR="004051B3" w:rsidRPr="004A6E37" w:rsidRDefault="004051B3" w:rsidP="00020944">
      <w:pPr>
        <w:spacing w:line="360" w:lineRule="auto"/>
        <w:jc w:val="both"/>
        <w:rPr>
          <w:rFonts w:ascii="Times New Roman" w:eastAsia="Calibri" w:hAnsi="Times New Roman" w:cs="Times New Roman"/>
          <w:sz w:val="24"/>
          <w:szCs w:val="24"/>
        </w:rPr>
      </w:pPr>
    </w:p>
    <w:p w14:paraId="275DB75D" w14:textId="77777777" w:rsidR="003B61D2" w:rsidRPr="004A6E37" w:rsidRDefault="003B61D2" w:rsidP="00020944">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lastRenderedPageBreak/>
        <w:t>L’évaluation des valeurs intermédiaires des SI nationales a donné les résultats consignés dans le tableau ci-dessous.</w:t>
      </w:r>
    </w:p>
    <w:tbl>
      <w:tblPr>
        <w:tblW w:w="5000" w:type="pct"/>
        <w:tblCellMar>
          <w:left w:w="70" w:type="dxa"/>
          <w:right w:w="70" w:type="dxa"/>
        </w:tblCellMar>
        <w:tblLook w:val="04A0" w:firstRow="1" w:lastRow="0" w:firstColumn="1" w:lastColumn="0" w:noHBand="0" w:noVBand="1"/>
      </w:tblPr>
      <w:tblGrid>
        <w:gridCol w:w="6552"/>
        <w:gridCol w:w="2925"/>
      </w:tblGrid>
      <w:tr w:rsidR="00282687" w:rsidRPr="004A6E37" w14:paraId="45EA8FAB" w14:textId="77777777" w:rsidTr="00A875CA">
        <w:trPr>
          <w:trHeight w:val="562"/>
        </w:trPr>
        <w:tc>
          <w:tcPr>
            <w:tcW w:w="3457" w:type="pct"/>
            <w:tcBorders>
              <w:top w:val="nil"/>
              <w:left w:val="single" w:sz="8" w:space="0" w:color="auto"/>
              <w:bottom w:val="nil"/>
              <w:right w:val="single" w:sz="8" w:space="0" w:color="auto"/>
            </w:tcBorders>
            <w:shd w:val="clear" w:color="000000" w:fill="203764"/>
            <w:noWrap/>
            <w:vAlign w:val="center"/>
            <w:hideMark/>
          </w:tcPr>
          <w:p w14:paraId="51504273"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Variables intermédiaires</w:t>
            </w:r>
          </w:p>
        </w:tc>
        <w:tc>
          <w:tcPr>
            <w:tcW w:w="1543" w:type="pct"/>
            <w:tcBorders>
              <w:top w:val="nil"/>
              <w:left w:val="nil"/>
              <w:bottom w:val="nil"/>
              <w:right w:val="single" w:sz="8" w:space="0" w:color="auto"/>
            </w:tcBorders>
            <w:shd w:val="clear" w:color="000000" w:fill="203764"/>
            <w:noWrap/>
            <w:vAlign w:val="center"/>
            <w:hideMark/>
          </w:tcPr>
          <w:p w14:paraId="0F12238D"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Scores intermédiaires</w:t>
            </w:r>
          </w:p>
        </w:tc>
      </w:tr>
      <w:tr w:rsidR="00282687" w:rsidRPr="004A6E37" w14:paraId="283B68D8" w14:textId="77777777" w:rsidTr="00A875CA">
        <w:trPr>
          <w:trHeight w:val="411"/>
        </w:trPr>
        <w:tc>
          <w:tcPr>
            <w:tcW w:w="3457"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52967CD8"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Échelle</w:t>
            </w:r>
          </w:p>
        </w:tc>
        <w:tc>
          <w:tcPr>
            <w:tcW w:w="1543" w:type="pct"/>
            <w:tcBorders>
              <w:top w:val="single" w:sz="4" w:space="0" w:color="auto"/>
              <w:left w:val="nil"/>
              <w:bottom w:val="single" w:sz="4" w:space="0" w:color="auto"/>
              <w:right w:val="single" w:sz="4" w:space="0" w:color="auto"/>
            </w:tcBorders>
            <w:shd w:val="clear" w:color="000000" w:fill="F2F2F2"/>
            <w:noWrap/>
            <w:vAlign w:val="center"/>
            <w:hideMark/>
          </w:tcPr>
          <w:p w14:paraId="72404F9F"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0,70</w:t>
            </w:r>
          </w:p>
        </w:tc>
      </w:tr>
      <w:tr w:rsidR="00282687" w:rsidRPr="004A6E37" w14:paraId="32CD4ECE" w14:textId="77777777" w:rsidTr="00A875CA">
        <w:trPr>
          <w:trHeight w:val="417"/>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0A31F778"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Exposition au risque transfrontalière</w:t>
            </w:r>
          </w:p>
        </w:tc>
        <w:tc>
          <w:tcPr>
            <w:tcW w:w="1543" w:type="pct"/>
            <w:tcBorders>
              <w:top w:val="nil"/>
              <w:left w:val="nil"/>
              <w:bottom w:val="single" w:sz="4" w:space="0" w:color="auto"/>
              <w:right w:val="single" w:sz="4" w:space="0" w:color="auto"/>
            </w:tcBorders>
            <w:shd w:val="clear" w:color="000000" w:fill="F2F2F2"/>
            <w:noWrap/>
            <w:vAlign w:val="center"/>
            <w:hideMark/>
          </w:tcPr>
          <w:p w14:paraId="39EF77A2"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0,66</w:t>
            </w:r>
          </w:p>
        </w:tc>
      </w:tr>
      <w:tr w:rsidR="00282687" w:rsidRPr="004A6E37" w14:paraId="6B6F6B2E" w14:textId="77777777" w:rsidTr="00A875CA">
        <w:trPr>
          <w:trHeight w:val="422"/>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0954FD38"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Facilité, vitesse et coûts de formation / enregistrement</w:t>
            </w:r>
          </w:p>
        </w:tc>
        <w:tc>
          <w:tcPr>
            <w:tcW w:w="1543" w:type="pct"/>
            <w:tcBorders>
              <w:top w:val="nil"/>
              <w:left w:val="nil"/>
              <w:bottom w:val="single" w:sz="4" w:space="0" w:color="auto"/>
              <w:right w:val="single" w:sz="4" w:space="0" w:color="auto"/>
            </w:tcBorders>
            <w:shd w:val="clear" w:color="000000" w:fill="F2F2F2"/>
            <w:noWrap/>
            <w:vAlign w:val="center"/>
            <w:hideMark/>
          </w:tcPr>
          <w:p w14:paraId="1C8312A8"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0,50</w:t>
            </w:r>
          </w:p>
        </w:tc>
      </w:tr>
      <w:tr w:rsidR="00282687" w:rsidRPr="004A6E37" w14:paraId="796791D5" w14:textId="77777777" w:rsidTr="00A875CA">
        <w:trPr>
          <w:trHeight w:val="574"/>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2C6FADBC"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Attractivité pour une utilisation non résidente</w:t>
            </w:r>
          </w:p>
        </w:tc>
        <w:tc>
          <w:tcPr>
            <w:tcW w:w="1543" w:type="pct"/>
            <w:tcBorders>
              <w:top w:val="nil"/>
              <w:left w:val="nil"/>
              <w:bottom w:val="single" w:sz="4" w:space="0" w:color="auto"/>
              <w:right w:val="single" w:sz="4" w:space="0" w:color="auto"/>
            </w:tcBorders>
            <w:shd w:val="clear" w:color="000000" w:fill="F2F2F2"/>
            <w:noWrap/>
            <w:vAlign w:val="center"/>
            <w:hideMark/>
          </w:tcPr>
          <w:p w14:paraId="5368E009"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0,40</w:t>
            </w:r>
          </w:p>
        </w:tc>
      </w:tr>
      <w:tr w:rsidR="00282687" w:rsidRPr="004A6E37" w14:paraId="78268791" w14:textId="77777777" w:rsidTr="00A875CA">
        <w:trPr>
          <w:trHeight w:val="426"/>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15528D0C"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Qualité et accessibilité des informations de base</w:t>
            </w:r>
          </w:p>
        </w:tc>
        <w:tc>
          <w:tcPr>
            <w:tcW w:w="1543" w:type="pct"/>
            <w:tcBorders>
              <w:top w:val="nil"/>
              <w:left w:val="nil"/>
              <w:bottom w:val="single" w:sz="4" w:space="0" w:color="auto"/>
              <w:right w:val="single" w:sz="4" w:space="0" w:color="auto"/>
            </w:tcBorders>
            <w:shd w:val="clear" w:color="000000" w:fill="F2F2F2"/>
            <w:noWrap/>
            <w:vAlign w:val="center"/>
            <w:hideMark/>
          </w:tcPr>
          <w:p w14:paraId="1AF9B1CB"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0,50</w:t>
            </w:r>
          </w:p>
        </w:tc>
      </w:tr>
      <w:tr w:rsidR="00282687" w:rsidRPr="004A6E37" w14:paraId="46461AAB" w14:textId="77777777" w:rsidTr="00A875CA">
        <w:trPr>
          <w:trHeight w:val="404"/>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792BC92C"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Qualité et accessibilité des informations BO</w:t>
            </w:r>
          </w:p>
        </w:tc>
        <w:tc>
          <w:tcPr>
            <w:tcW w:w="1543" w:type="pct"/>
            <w:tcBorders>
              <w:top w:val="nil"/>
              <w:left w:val="nil"/>
              <w:bottom w:val="single" w:sz="4" w:space="0" w:color="auto"/>
              <w:right w:val="single" w:sz="4" w:space="0" w:color="auto"/>
            </w:tcBorders>
            <w:shd w:val="clear" w:color="000000" w:fill="F2F2F2"/>
            <w:noWrap/>
            <w:vAlign w:val="center"/>
            <w:hideMark/>
          </w:tcPr>
          <w:p w14:paraId="1FD194CC"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0,78</w:t>
            </w:r>
          </w:p>
        </w:tc>
      </w:tr>
      <w:tr w:rsidR="00282687" w:rsidRPr="004A6E37" w14:paraId="4BA209C3" w14:textId="77777777" w:rsidTr="00A875CA">
        <w:trPr>
          <w:trHeight w:val="423"/>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0A79F3AE"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Incidence dans les cas ML / TF analysés</w:t>
            </w:r>
          </w:p>
        </w:tc>
        <w:tc>
          <w:tcPr>
            <w:tcW w:w="1543" w:type="pct"/>
            <w:tcBorders>
              <w:top w:val="nil"/>
              <w:left w:val="nil"/>
              <w:bottom w:val="single" w:sz="4" w:space="0" w:color="auto"/>
              <w:right w:val="single" w:sz="4" w:space="0" w:color="auto"/>
            </w:tcBorders>
            <w:shd w:val="clear" w:color="000000" w:fill="F2F2F2"/>
            <w:noWrap/>
            <w:vAlign w:val="center"/>
            <w:hideMark/>
          </w:tcPr>
          <w:p w14:paraId="038620B9"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0,95</w:t>
            </w:r>
          </w:p>
        </w:tc>
      </w:tr>
      <w:tr w:rsidR="00282687" w:rsidRPr="004A6E37" w14:paraId="11DCFB1D" w14:textId="77777777" w:rsidTr="00A875CA">
        <w:trPr>
          <w:trHeight w:val="416"/>
        </w:trPr>
        <w:tc>
          <w:tcPr>
            <w:tcW w:w="3457" w:type="pct"/>
            <w:tcBorders>
              <w:top w:val="nil"/>
              <w:left w:val="single" w:sz="4" w:space="0" w:color="auto"/>
              <w:bottom w:val="single" w:sz="4" w:space="0" w:color="auto"/>
              <w:right w:val="single" w:sz="4" w:space="0" w:color="auto"/>
            </w:tcBorders>
            <w:shd w:val="clear" w:color="000000" w:fill="D9E1F2"/>
            <w:vAlign w:val="center"/>
            <w:hideMark/>
          </w:tcPr>
          <w:p w14:paraId="225D4C4B"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Existence de typologies ML / TF</w:t>
            </w:r>
          </w:p>
        </w:tc>
        <w:tc>
          <w:tcPr>
            <w:tcW w:w="1543" w:type="pct"/>
            <w:tcBorders>
              <w:top w:val="nil"/>
              <w:left w:val="nil"/>
              <w:bottom w:val="single" w:sz="4" w:space="0" w:color="auto"/>
              <w:right w:val="single" w:sz="4" w:space="0" w:color="auto"/>
            </w:tcBorders>
            <w:shd w:val="clear" w:color="000000" w:fill="F2F2F2"/>
            <w:noWrap/>
            <w:vAlign w:val="center"/>
            <w:hideMark/>
          </w:tcPr>
          <w:p w14:paraId="7044938A"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0,00</w:t>
            </w:r>
          </w:p>
        </w:tc>
      </w:tr>
      <w:tr w:rsidR="00282687" w:rsidRPr="004A6E37" w14:paraId="71FC9933" w14:textId="77777777" w:rsidTr="00A875CA">
        <w:trPr>
          <w:trHeight w:val="408"/>
        </w:trPr>
        <w:tc>
          <w:tcPr>
            <w:tcW w:w="3457" w:type="pct"/>
            <w:tcBorders>
              <w:top w:val="nil"/>
              <w:left w:val="single" w:sz="8" w:space="0" w:color="auto"/>
              <w:bottom w:val="single" w:sz="8" w:space="0" w:color="auto"/>
              <w:right w:val="single" w:sz="8" w:space="0" w:color="auto"/>
            </w:tcBorders>
            <w:shd w:val="clear" w:color="000000" w:fill="203764"/>
            <w:noWrap/>
            <w:vAlign w:val="center"/>
            <w:hideMark/>
          </w:tcPr>
          <w:p w14:paraId="659A4340"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Niveau global</w:t>
            </w:r>
          </w:p>
        </w:tc>
        <w:tc>
          <w:tcPr>
            <w:tcW w:w="1543" w:type="pct"/>
            <w:tcBorders>
              <w:top w:val="nil"/>
              <w:left w:val="nil"/>
              <w:bottom w:val="nil"/>
              <w:right w:val="nil"/>
            </w:tcBorders>
            <w:shd w:val="clear" w:color="000000" w:fill="203764"/>
            <w:noWrap/>
            <w:vAlign w:val="center"/>
            <w:hideMark/>
          </w:tcPr>
          <w:p w14:paraId="6A12E589"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0,57</w:t>
            </w:r>
          </w:p>
        </w:tc>
      </w:tr>
    </w:tbl>
    <w:p w14:paraId="028E30F8" w14:textId="77777777" w:rsidR="00282687" w:rsidRPr="004A6E37" w:rsidRDefault="00282687" w:rsidP="00020944">
      <w:pPr>
        <w:spacing w:line="360" w:lineRule="auto"/>
        <w:jc w:val="both"/>
        <w:rPr>
          <w:rFonts w:ascii="Times New Roman" w:eastAsia="Calibri" w:hAnsi="Times New Roman" w:cs="Times New Roman"/>
          <w:sz w:val="24"/>
          <w:szCs w:val="24"/>
        </w:rPr>
      </w:pPr>
    </w:p>
    <w:p w14:paraId="23F93BE3" w14:textId="77777777" w:rsidR="003B61D2" w:rsidRPr="004A6E37" w:rsidRDefault="003B61D2" w:rsidP="00020944">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L’évaluation des valeurs intermédiaires des SI étrangères a donné les résultats consignés dans le tableau ci-dessous.</w:t>
      </w:r>
    </w:p>
    <w:tbl>
      <w:tblPr>
        <w:tblW w:w="5000" w:type="pct"/>
        <w:tblCellMar>
          <w:left w:w="70" w:type="dxa"/>
          <w:right w:w="70" w:type="dxa"/>
        </w:tblCellMar>
        <w:tblLook w:val="04A0" w:firstRow="1" w:lastRow="0" w:firstColumn="1" w:lastColumn="0" w:noHBand="0" w:noVBand="1"/>
      </w:tblPr>
      <w:tblGrid>
        <w:gridCol w:w="7302"/>
        <w:gridCol w:w="2175"/>
      </w:tblGrid>
      <w:tr w:rsidR="00282687" w:rsidRPr="004A6E37" w14:paraId="0F1457E6" w14:textId="77777777" w:rsidTr="00A875CA">
        <w:trPr>
          <w:trHeight w:val="743"/>
        </w:trPr>
        <w:tc>
          <w:tcPr>
            <w:tcW w:w="4171" w:type="pct"/>
            <w:tcBorders>
              <w:top w:val="nil"/>
              <w:left w:val="single" w:sz="8" w:space="0" w:color="auto"/>
              <w:bottom w:val="nil"/>
              <w:right w:val="single" w:sz="8" w:space="0" w:color="auto"/>
            </w:tcBorders>
            <w:shd w:val="clear" w:color="000000" w:fill="203764"/>
            <w:noWrap/>
            <w:vAlign w:val="center"/>
            <w:hideMark/>
          </w:tcPr>
          <w:p w14:paraId="2B7B4A3C"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Variables intermédiaires</w:t>
            </w:r>
          </w:p>
        </w:tc>
        <w:tc>
          <w:tcPr>
            <w:tcW w:w="829" w:type="pct"/>
            <w:tcBorders>
              <w:top w:val="nil"/>
              <w:left w:val="nil"/>
              <w:bottom w:val="nil"/>
              <w:right w:val="single" w:sz="8" w:space="0" w:color="auto"/>
            </w:tcBorders>
            <w:shd w:val="clear" w:color="000000" w:fill="203764"/>
            <w:noWrap/>
            <w:vAlign w:val="center"/>
            <w:hideMark/>
          </w:tcPr>
          <w:p w14:paraId="33DBB750"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Scores intermédiaires</w:t>
            </w:r>
          </w:p>
        </w:tc>
      </w:tr>
      <w:tr w:rsidR="00282687" w:rsidRPr="004A6E37" w14:paraId="5ECD5D55" w14:textId="77777777" w:rsidTr="00A875CA">
        <w:trPr>
          <w:trHeight w:val="439"/>
        </w:trPr>
        <w:tc>
          <w:tcPr>
            <w:tcW w:w="4171"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A7CD23F"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Échelle</w:t>
            </w:r>
          </w:p>
        </w:tc>
        <w:tc>
          <w:tcPr>
            <w:tcW w:w="829" w:type="pct"/>
            <w:tcBorders>
              <w:top w:val="single" w:sz="4" w:space="0" w:color="auto"/>
              <w:left w:val="nil"/>
              <w:bottom w:val="single" w:sz="4" w:space="0" w:color="auto"/>
              <w:right w:val="single" w:sz="4" w:space="0" w:color="auto"/>
            </w:tcBorders>
            <w:shd w:val="clear" w:color="000000" w:fill="F2F2F2"/>
            <w:noWrap/>
            <w:vAlign w:val="center"/>
            <w:hideMark/>
          </w:tcPr>
          <w:p w14:paraId="419A7D80"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0,95</w:t>
            </w:r>
          </w:p>
        </w:tc>
      </w:tr>
      <w:tr w:rsidR="00282687" w:rsidRPr="004A6E37" w14:paraId="3ED9C429" w14:textId="77777777" w:rsidTr="00A875CA">
        <w:trPr>
          <w:trHeight w:val="417"/>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07826AD0"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Exposition au risque transfrontalière</w:t>
            </w:r>
          </w:p>
        </w:tc>
        <w:tc>
          <w:tcPr>
            <w:tcW w:w="829" w:type="pct"/>
            <w:tcBorders>
              <w:top w:val="nil"/>
              <w:left w:val="nil"/>
              <w:bottom w:val="single" w:sz="4" w:space="0" w:color="auto"/>
              <w:right w:val="single" w:sz="4" w:space="0" w:color="auto"/>
            </w:tcBorders>
            <w:shd w:val="clear" w:color="000000" w:fill="F2F2F2"/>
            <w:noWrap/>
            <w:vAlign w:val="center"/>
            <w:hideMark/>
          </w:tcPr>
          <w:p w14:paraId="31485460"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0,50</w:t>
            </w:r>
          </w:p>
        </w:tc>
      </w:tr>
      <w:tr w:rsidR="00282687" w:rsidRPr="004A6E37" w14:paraId="31886081" w14:textId="77777777" w:rsidTr="00A875CA">
        <w:trPr>
          <w:trHeight w:val="551"/>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43473834"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Efficacité de la coopération internationale avec la juridiction étrangère</w:t>
            </w:r>
          </w:p>
        </w:tc>
        <w:tc>
          <w:tcPr>
            <w:tcW w:w="829" w:type="pct"/>
            <w:tcBorders>
              <w:top w:val="nil"/>
              <w:left w:val="nil"/>
              <w:bottom w:val="single" w:sz="4" w:space="0" w:color="auto"/>
              <w:right w:val="single" w:sz="4" w:space="0" w:color="auto"/>
            </w:tcBorders>
            <w:shd w:val="clear" w:color="000000" w:fill="F2F2F2"/>
            <w:noWrap/>
            <w:vAlign w:val="center"/>
            <w:hideMark/>
          </w:tcPr>
          <w:p w14:paraId="1E43FE88"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0,50</w:t>
            </w:r>
          </w:p>
        </w:tc>
      </w:tr>
      <w:tr w:rsidR="00282687" w:rsidRPr="004A6E37" w14:paraId="4C791139" w14:textId="77777777" w:rsidTr="00A875CA">
        <w:trPr>
          <w:trHeight w:val="410"/>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57EAF813"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Attractivité à utiliser dans votre juridiction</w:t>
            </w:r>
          </w:p>
        </w:tc>
        <w:tc>
          <w:tcPr>
            <w:tcW w:w="829" w:type="pct"/>
            <w:tcBorders>
              <w:top w:val="nil"/>
              <w:left w:val="nil"/>
              <w:bottom w:val="single" w:sz="4" w:space="0" w:color="auto"/>
              <w:right w:val="single" w:sz="4" w:space="0" w:color="auto"/>
            </w:tcBorders>
            <w:shd w:val="clear" w:color="000000" w:fill="F2F2F2"/>
            <w:noWrap/>
            <w:vAlign w:val="center"/>
            <w:hideMark/>
          </w:tcPr>
          <w:p w14:paraId="6C3BC81E"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0,30</w:t>
            </w:r>
          </w:p>
        </w:tc>
      </w:tr>
      <w:tr w:rsidR="00282687" w:rsidRPr="004A6E37" w14:paraId="18C03DCB" w14:textId="77777777" w:rsidTr="00A875CA">
        <w:trPr>
          <w:trHeight w:val="400"/>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5B9687F4"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Qualité et accessibilité des informations de base</w:t>
            </w:r>
          </w:p>
        </w:tc>
        <w:tc>
          <w:tcPr>
            <w:tcW w:w="829" w:type="pct"/>
            <w:tcBorders>
              <w:top w:val="nil"/>
              <w:left w:val="nil"/>
              <w:bottom w:val="single" w:sz="4" w:space="0" w:color="auto"/>
              <w:right w:val="single" w:sz="4" w:space="0" w:color="auto"/>
            </w:tcBorders>
            <w:shd w:val="clear" w:color="000000" w:fill="F2F2F2"/>
            <w:noWrap/>
            <w:vAlign w:val="center"/>
            <w:hideMark/>
          </w:tcPr>
          <w:p w14:paraId="38EA8A16"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0,50</w:t>
            </w:r>
          </w:p>
        </w:tc>
      </w:tr>
      <w:tr w:rsidR="00282687" w:rsidRPr="004A6E37" w14:paraId="00AA0F98" w14:textId="77777777" w:rsidTr="00A875CA">
        <w:trPr>
          <w:trHeight w:val="411"/>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220F5962"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Qualité et accessibilité des informations BO</w:t>
            </w:r>
          </w:p>
        </w:tc>
        <w:tc>
          <w:tcPr>
            <w:tcW w:w="829" w:type="pct"/>
            <w:tcBorders>
              <w:top w:val="nil"/>
              <w:left w:val="nil"/>
              <w:bottom w:val="single" w:sz="4" w:space="0" w:color="auto"/>
              <w:right w:val="single" w:sz="4" w:space="0" w:color="auto"/>
            </w:tcBorders>
            <w:shd w:val="clear" w:color="000000" w:fill="F2F2F2"/>
            <w:noWrap/>
            <w:vAlign w:val="center"/>
            <w:hideMark/>
          </w:tcPr>
          <w:p w14:paraId="41E4C6C3"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0,88</w:t>
            </w:r>
          </w:p>
        </w:tc>
      </w:tr>
      <w:tr w:rsidR="00282687" w:rsidRPr="004A6E37" w14:paraId="71C392D9" w14:textId="77777777" w:rsidTr="00A875CA">
        <w:trPr>
          <w:trHeight w:val="414"/>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1724EB26"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Incidence dans les cas ML / TF analysés</w:t>
            </w:r>
          </w:p>
        </w:tc>
        <w:tc>
          <w:tcPr>
            <w:tcW w:w="829" w:type="pct"/>
            <w:tcBorders>
              <w:top w:val="nil"/>
              <w:left w:val="nil"/>
              <w:bottom w:val="single" w:sz="4" w:space="0" w:color="auto"/>
              <w:right w:val="single" w:sz="4" w:space="0" w:color="auto"/>
            </w:tcBorders>
            <w:shd w:val="clear" w:color="000000" w:fill="F2F2F2"/>
            <w:noWrap/>
            <w:vAlign w:val="center"/>
            <w:hideMark/>
          </w:tcPr>
          <w:p w14:paraId="7E5DDBBB"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0,95</w:t>
            </w:r>
          </w:p>
        </w:tc>
      </w:tr>
      <w:tr w:rsidR="00282687" w:rsidRPr="004A6E37" w14:paraId="6C306DE1" w14:textId="77777777" w:rsidTr="00A875CA">
        <w:trPr>
          <w:trHeight w:val="431"/>
        </w:trPr>
        <w:tc>
          <w:tcPr>
            <w:tcW w:w="4171" w:type="pct"/>
            <w:tcBorders>
              <w:top w:val="nil"/>
              <w:left w:val="single" w:sz="4" w:space="0" w:color="auto"/>
              <w:bottom w:val="single" w:sz="4" w:space="0" w:color="auto"/>
              <w:right w:val="single" w:sz="4" w:space="0" w:color="auto"/>
            </w:tcBorders>
            <w:shd w:val="clear" w:color="000000" w:fill="D9E1F2"/>
            <w:vAlign w:val="center"/>
            <w:hideMark/>
          </w:tcPr>
          <w:p w14:paraId="76E58571" w14:textId="77777777" w:rsidR="00282687" w:rsidRPr="004A6E37" w:rsidRDefault="00282687" w:rsidP="00020944">
            <w:pPr>
              <w:spacing w:after="0" w:line="360" w:lineRule="auto"/>
              <w:rPr>
                <w:rFonts w:ascii="Times New Roman" w:eastAsia="Times New Roman" w:hAnsi="Times New Roman" w:cs="Times New Roman"/>
                <w:szCs w:val="24"/>
                <w:lang w:eastAsia="fr-CA"/>
              </w:rPr>
            </w:pPr>
            <w:r w:rsidRPr="004A6E37">
              <w:rPr>
                <w:rFonts w:ascii="Times New Roman" w:eastAsia="Times New Roman" w:hAnsi="Times New Roman" w:cs="Times New Roman"/>
                <w:szCs w:val="24"/>
                <w:lang w:eastAsia="fr-CA"/>
              </w:rPr>
              <w:t>Existence de typologies ML / TF</w:t>
            </w:r>
          </w:p>
        </w:tc>
        <w:tc>
          <w:tcPr>
            <w:tcW w:w="829" w:type="pct"/>
            <w:tcBorders>
              <w:top w:val="nil"/>
              <w:left w:val="nil"/>
              <w:bottom w:val="single" w:sz="4" w:space="0" w:color="auto"/>
              <w:right w:val="single" w:sz="4" w:space="0" w:color="auto"/>
            </w:tcBorders>
            <w:shd w:val="clear" w:color="000000" w:fill="F2F2F2"/>
            <w:noWrap/>
            <w:vAlign w:val="center"/>
            <w:hideMark/>
          </w:tcPr>
          <w:p w14:paraId="5E3D2E92"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0,95</w:t>
            </w:r>
          </w:p>
        </w:tc>
      </w:tr>
      <w:tr w:rsidR="00282687" w:rsidRPr="004A6E37" w14:paraId="5CDB6FA0" w14:textId="77777777" w:rsidTr="00A875CA">
        <w:trPr>
          <w:trHeight w:val="409"/>
        </w:trPr>
        <w:tc>
          <w:tcPr>
            <w:tcW w:w="4171" w:type="pct"/>
            <w:tcBorders>
              <w:top w:val="nil"/>
              <w:left w:val="single" w:sz="8" w:space="0" w:color="auto"/>
              <w:bottom w:val="single" w:sz="8" w:space="0" w:color="auto"/>
              <w:right w:val="single" w:sz="8" w:space="0" w:color="auto"/>
            </w:tcBorders>
            <w:shd w:val="clear" w:color="000000" w:fill="203764"/>
            <w:noWrap/>
            <w:vAlign w:val="center"/>
            <w:hideMark/>
          </w:tcPr>
          <w:p w14:paraId="18F43E96"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Niveau global</w:t>
            </w:r>
          </w:p>
        </w:tc>
        <w:tc>
          <w:tcPr>
            <w:tcW w:w="829" w:type="pct"/>
            <w:tcBorders>
              <w:top w:val="nil"/>
              <w:left w:val="nil"/>
              <w:bottom w:val="nil"/>
              <w:right w:val="nil"/>
            </w:tcBorders>
            <w:shd w:val="clear" w:color="000000" w:fill="203764"/>
            <w:noWrap/>
            <w:vAlign w:val="center"/>
            <w:hideMark/>
          </w:tcPr>
          <w:p w14:paraId="6D11BF0E" w14:textId="77777777" w:rsidR="00282687" w:rsidRPr="004A6E37" w:rsidRDefault="00282687" w:rsidP="00020944">
            <w:pPr>
              <w:spacing w:after="0" w:line="360" w:lineRule="auto"/>
              <w:jc w:val="center"/>
              <w:rPr>
                <w:rFonts w:ascii="Times New Roman" w:eastAsia="Times New Roman" w:hAnsi="Times New Roman" w:cs="Times New Roman"/>
                <w:b/>
                <w:bCs/>
                <w:szCs w:val="24"/>
                <w:lang w:eastAsia="fr-CA"/>
              </w:rPr>
            </w:pPr>
            <w:r w:rsidRPr="004A6E37">
              <w:rPr>
                <w:rFonts w:ascii="Times New Roman" w:eastAsia="Times New Roman" w:hAnsi="Times New Roman" w:cs="Times New Roman"/>
                <w:b/>
                <w:bCs/>
                <w:szCs w:val="24"/>
                <w:lang w:eastAsia="fr-CA"/>
              </w:rPr>
              <w:t>0,69</w:t>
            </w:r>
          </w:p>
        </w:tc>
      </w:tr>
    </w:tbl>
    <w:p w14:paraId="69562A8F" w14:textId="77777777" w:rsidR="00282687" w:rsidRPr="004A6E37" w:rsidRDefault="00282687" w:rsidP="00020944">
      <w:pPr>
        <w:spacing w:line="360" w:lineRule="auto"/>
        <w:jc w:val="both"/>
        <w:rPr>
          <w:rFonts w:ascii="Times New Roman" w:eastAsia="Calibri" w:hAnsi="Times New Roman" w:cs="Times New Roman"/>
          <w:sz w:val="24"/>
          <w:szCs w:val="24"/>
        </w:rPr>
      </w:pPr>
    </w:p>
    <w:p w14:paraId="29AB9D32" w14:textId="77777777" w:rsidR="003B61D2" w:rsidRPr="004A6E37" w:rsidRDefault="007345B1" w:rsidP="00020944">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2.3</w:t>
      </w:r>
      <w:r w:rsidR="00B62506" w:rsidRPr="004A6E37">
        <w:rPr>
          <w:rFonts w:ascii="Times New Roman" w:eastAsia="Times New Roman" w:hAnsi="Times New Roman" w:cs="Times New Roman"/>
          <w:b/>
          <w:sz w:val="24"/>
          <w:szCs w:val="24"/>
        </w:rPr>
        <w:t>.3.</w:t>
      </w:r>
      <w:r w:rsidR="003B61D2" w:rsidRPr="004A6E37">
        <w:rPr>
          <w:rFonts w:ascii="Times New Roman" w:eastAsia="Times New Roman" w:hAnsi="Times New Roman" w:cs="Times New Roman"/>
          <w:b/>
          <w:sz w:val="24"/>
          <w:szCs w:val="24"/>
        </w:rPr>
        <w:t xml:space="preserve">  Risques :</w:t>
      </w:r>
    </w:p>
    <w:p w14:paraId="37BA5A8F" w14:textId="77777777" w:rsidR="00FA3029" w:rsidRPr="004A6E37" w:rsidRDefault="003B61D2" w:rsidP="00020944">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Le niveau de risque résulte de la combinaison de la menace et la vulnérabilité. Il est évalué par la feuille Excel (Sept3 Master). Le niveau de risque a été évalué à «</w:t>
      </w:r>
      <w:r w:rsidR="00FA3029" w:rsidRPr="004A6E37">
        <w:rPr>
          <w:rFonts w:ascii="Times New Roman" w:eastAsia="Calibri" w:hAnsi="Times New Roman" w:cs="Times New Roman"/>
          <w:sz w:val="24"/>
          <w:szCs w:val="24"/>
        </w:rPr>
        <w:t>moyennement élevé</w:t>
      </w:r>
      <w:r w:rsidRPr="004A6E37">
        <w:rPr>
          <w:rFonts w:ascii="Times New Roman" w:eastAsia="Calibri" w:hAnsi="Times New Roman" w:cs="Times New Roman"/>
          <w:sz w:val="24"/>
          <w:szCs w:val="24"/>
        </w:rPr>
        <w:t xml:space="preserve"> » voir graphique ci-dessous. </w:t>
      </w:r>
    </w:p>
    <w:p w14:paraId="03310029" w14:textId="77777777" w:rsidR="00FA3029" w:rsidRPr="004A6E37" w:rsidRDefault="00FA3029" w:rsidP="00020944">
      <w:pPr>
        <w:spacing w:line="360" w:lineRule="auto"/>
        <w:jc w:val="both"/>
        <w:rPr>
          <w:rFonts w:ascii="Times New Roman" w:eastAsia="Calibri" w:hAnsi="Times New Roman" w:cs="Times New Roman"/>
          <w:sz w:val="24"/>
          <w:szCs w:val="24"/>
        </w:rPr>
      </w:pPr>
      <w:r w:rsidRPr="004A6E37">
        <w:rPr>
          <w:rFonts w:ascii="Times New Roman" w:hAnsi="Times New Roman" w:cs="Times New Roman"/>
          <w:noProof/>
          <w:sz w:val="24"/>
          <w:szCs w:val="24"/>
          <w:lang w:val="fr-CA" w:eastAsia="fr-CA"/>
        </w:rPr>
        <w:lastRenderedPageBreak/>
        <w:drawing>
          <wp:inline distT="0" distB="0" distL="0" distR="0" wp14:anchorId="5E4120B2" wp14:editId="03903CB0">
            <wp:extent cx="5486400" cy="2436495"/>
            <wp:effectExtent l="0" t="0" r="19050" b="20955"/>
            <wp:docPr id="18" name="Graphique 18">
              <a:extLst xmlns:a="http://schemas.openxmlformats.org/drawingml/2006/main">
                <a:ext uri="{FF2B5EF4-FFF2-40B4-BE49-F238E27FC236}">
                  <a16:creationId xmlns:a16="http://schemas.microsoft.com/office/drawing/2014/main" id="{47D9078F-3764-414D-AB62-858AB44DAE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DFE111" w14:textId="77777777" w:rsidR="00FA3029" w:rsidRPr="004A6E37" w:rsidRDefault="00FA3029" w:rsidP="003B61D2">
      <w:pPr>
        <w:jc w:val="both"/>
        <w:rPr>
          <w:rFonts w:ascii="Times New Roman" w:eastAsia="Calibri" w:hAnsi="Times New Roman" w:cs="Times New Roman"/>
          <w:sz w:val="16"/>
          <w:szCs w:val="24"/>
        </w:rPr>
      </w:pPr>
    </w:p>
    <w:p w14:paraId="6CC9F72F" w14:textId="77777777" w:rsidR="002C0C87" w:rsidRPr="004A6E37" w:rsidRDefault="007C39FF" w:rsidP="001F564C">
      <w:pPr>
        <w:pStyle w:val="En-tte"/>
        <w:spacing w:line="360" w:lineRule="auto"/>
        <w:jc w:val="both"/>
        <w:outlineLvl w:val="2"/>
        <w:rPr>
          <w:rFonts w:ascii="Times New Roman" w:hAnsi="Times New Roman" w:cs="Times New Roman"/>
          <w:b/>
          <w:sz w:val="24"/>
          <w:szCs w:val="24"/>
        </w:rPr>
      </w:pPr>
      <w:bookmarkStart w:id="66" w:name="_Toc126251892"/>
      <w:r w:rsidRPr="004A6E37">
        <w:rPr>
          <w:rFonts w:ascii="Times New Roman" w:eastAsia="Times New Roman" w:hAnsi="Times New Roman" w:cs="Times New Roman"/>
          <w:b/>
          <w:sz w:val="24"/>
          <w:szCs w:val="24"/>
        </w:rPr>
        <w:t>2.4</w:t>
      </w:r>
      <w:r w:rsidR="002C0C87" w:rsidRPr="004A6E37">
        <w:rPr>
          <w:rFonts w:ascii="Times New Roman" w:eastAsia="Times New Roman" w:hAnsi="Times New Roman" w:cs="Times New Roman"/>
          <w:b/>
          <w:sz w:val="24"/>
          <w:szCs w:val="24"/>
        </w:rPr>
        <w:t>.</w:t>
      </w:r>
      <w:r w:rsidR="002C0C87" w:rsidRPr="004A6E37">
        <w:rPr>
          <w:rFonts w:ascii="Times New Roman" w:hAnsi="Times New Roman" w:cs="Times New Roman"/>
          <w:sz w:val="24"/>
          <w:szCs w:val="24"/>
        </w:rPr>
        <w:t xml:space="preserve"> </w:t>
      </w:r>
      <w:r w:rsidR="002C0C87" w:rsidRPr="004A6E37">
        <w:rPr>
          <w:rFonts w:ascii="Times New Roman" w:hAnsi="Times New Roman" w:cs="Times New Roman"/>
          <w:b/>
          <w:sz w:val="24"/>
          <w:szCs w:val="24"/>
        </w:rPr>
        <w:t>Société civile professionnelle</w:t>
      </w:r>
      <w:bookmarkEnd w:id="66"/>
    </w:p>
    <w:p w14:paraId="1B1CA4C7" w14:textId="77777777" w:rsidR="008A463F" w:rsidRPr="004A6E37" w:rsidRDefault="003B61D2" w:rsidP="00187565">
      <w:pPr>
        <w:pStyle w:val="En-tte"/>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sociétés </w:t>
      </w:r>
      <w:r w:rsidR="00223E13" w:rsidRPr="004A6E37">
        <w:rPr>
          <w:rFonts w:ascii="Times New Roman" w:hAnsi="Times New Roman" w:cs="Times New Roman"/>
          <w:sz w:val="24"/>
          <w:szCs w:val="24"/>
        </w:rPr>
        <w:t>civiles professionnelles</w:t>
      </w:r>
      <w:r w:rsidRPr="004A6E37">
        <w:rPr>
          <w:rFonts w:ascii="Times New Roman" w:hAnsi="Times New Roman" w:cs="Times New Roman"/>
          <w:sz w:val="24"/>
          <w:szCs w:val="24"/>
        </w:rPr>
        <w:t xml:space="preserve"> font l’objet d’inscription sur le RCCM. Elles sont tenues d’avoir des numéros de NINA. </w:t>
      </w:r>
      <w:r w:rsidR="008A463F" w:rsidRPr="004A6E37">
        <w:rPr>
          <w:rFonts w:ascii="Times New Roman" w:hAnsi="Times New Roman" w:cs="Times New Roman"/>
          <w:sz w:val="24"/>
          <w:szCs w:val="24"/>
        </w:rPr>
        <w:t xml:space="preserve">Les sociétés de ce secteur sont généralement les prestataires de service, par conséquent ils sont exposés au même risque que les commanditaires des marchés. </w:t>
      </w:r>
    </w:p>
    <w:p w14:paraId="34EA216A" w14:textId="77777777" w:rsidR="003B61D2" w:rsidRPr="004A6E37" w:rsidRDefault="00A279BA" w:rsidP="00187565">
      <w:pPr>
        <w:pStyle w:val="En-tte"/>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Aussi, les s</w:t>
      </w:r>
      <w:r w:rsidR="008A463F" w:rsidRPr="004A6E37">
        <w:rPr>
          <w:rFonts w:ascii="Times New Roman" w:hAnsi="Times New Roman" w:cs="Times New Roman"/>
          <w:sz w:val="24"/>
          <w:szCs w:val="24"/>
        </w:rPr>
        <w:t xml:space="preserve">ociétés civiles professionnelles sont soumissent aux mêmes règles qui régentent les formations, </w:t>
      </w:r>
      <w:r w:rsidR="007229EA" w:rsidRPr="004A6E37">
        <w:rPr>
          <w:rFonts w:ascii="Times New Roman" w:hAnsi="Times New Roman" w:cs="Times New Roman"/>
          <w:sz w:val="24"/>
          <w:szCs w:val="24"/>
        </w:rPr>
        <w:t xml:space="preserve">les </w:t>
      </w:r>
      <w:r w:rsidR="008A463F" w:rsidRPr="004A6E37">
        <w:rPr>
          <w:rFonts w:ascii="Times New Roman" w:hAnsi="Times New Roman" w:cs="Times New Roman"/>
          <w:sz w:val="24"/>
          <w:szCs w:val="24"/>
        </w:rPr>
        <w:t>créations, et la modification des sociétés anonymes ou sociétés à responsabilit</w:t>
      </w:r>
      <w:r w:rsidR="00AE47D6" w:rsidRPr="004A6E37">
        <w:rPr>
          <w:rFonts w:ascii="Times New Roman" w:hAnsi="Times New Roman" w:cs="Times New Roman"/>
          <w:sz w:val="24"/>
          <w:szCs w:val="24"/>
        </w:rPr>
        <w:t>é limitée</w:t>
      </w:r>
      <w:r w:rsidR="008A463F" w:rsidRPr="004A6E37">
        <w:rPr>
          <w:rFonts w:ascii="Times New Roman" w:hAnsi="Times New Roman" w:cs="Times New Roman"/>
          <w:sz w:val="24"/>
          <w:szCs w:val="24"/>
        </w:rPr>
        <w:t xml:space="preserve">.   </w:t>
      </w:r>
    </w:p>
    <w:p w14:paraId="15109F0D" w14:textId="77777777" w:rsidR="00467A33" w:rsidRPr="004A6E37" w:rsidRDefault="007C39FF" w:rsidP="001F564C">
      <w:pPr>
        <w:pStyle w:val="En-tte"/>
        <w:spacing w:line="360" w:lineRule="auto"/>
        <w:jc w:val="both"/>
        <w:outlineLvl w:val="2"/>
        <w:rPr>
          <w:rFonts w:ascii="Times New Roman" w:eastAsia="Times New Roman" w:hAnsi="Times New Roman" w:cs="Times New Roman"/>
          <w:b/>
          <w:sz w:val="24"/>
          <w:szCs w:val="24"/>
        </w:rPr>
      </w:pPr>
      <w:bookmarkStart w:id="67" w:name="_Toc126251893"/>
      <w:r w:rsidRPr="004A6E37">
        <w:rPr>
          <w:rFonts w:ascii="Times New Roman" w:eastAsia="Times New Roman" w:hAnsi="Times New Roman" w:cs="Times New Roman"/>
          <w:b/>
          <w:sz w:val="24"/>
          <w:szCs w:val="24"/>
        </w:rPr>
        <w:t>2.5</w:t>
      </w:r>
      <w:r w:rsidR="002C0C87" w:rsidRPr="004A6E37">
        <w:rPr>
          <w:rFonts w:ascii="Times New Roman" w:eastAsia="Times New Roman" w:hAnsi="Times New Roman" w:cs="Times New Roman"/>
          <w:b/>
          <w:sz w:val="24"/>
          <w:szCs w:val="24"/>
        </w:rPr>
        <w:t xml:space="preserve">. </w:t>
      </w:r>
      <w:r w:rsidR="00562DC2" w:rsidRPr="004A6E37">
        <w:rPr>
          <w:rFonts w:ascii="Times New Roman" w:eastAsia="Times New Roman" w:hAnsi="Times New Roman" w:cs="Times New Roman"/>
          <w:b/>
          <w:sz w:val="24"/>
          <w:szCs w:val="24"/>
        </w:rPr>
        <w:t>Groupement</w:t>
      </w:r>
      <w:r w:rsidR="00AE0DB9" w:rsidRPr="004A6E37">
        <w:rPr>
          <w:rFonts w:ascii="Times New Roman" w:eastAsia="Times New Roman" w:hAnsi="Times New Roman" w:cs="Times New Roman"/>
          <w:b/>
          <w:sz w:val="24"/>
          <w:szCs w:val="24"/>
        </w:rPr>
        <w:t>s</w:t>
      </w:r>
      <w:r w:rsidR="00562DC2" w:rsidRPr="004A6E37">
        <w:rPr>
          <w:rFonts w:ascii="Times New Roman" w:eastAsia="Times New Roman" w:hAnsi="Times New Roman" w:cs="Times New Roman"/>
          <w:b/>
          <w:sz w:val="24"/>
          <w:szCs w:val="24"/>
        </w:rPr>
        <w:t xml:space="preserve"> d’intérêt Economique</w:t>
      </w:r>
      <w:r w:rsidR="00467A33" w:rsidRPr="004A6E37">
        <w:rPr>
          <w:rFonts w:ascii="Times New Roman" w:eastAsia="Times New Roman" w:hAnsi="Times New Roman" w:cs="Times New Roman"/>
          <w:b/>
          <w:sz w:val="24"/>
          <w:szCs w:val="24"/>
        </w:rPr>
        <w:t>.</w:t>
      </w:r>
      <w:bookmarkEnd w:id="67"/>
    </w:p>
    <w:p w14:paraId="39B26A66" w14:textId="77777777" w:rsidR="00072682" w:rsidRPr="004A6E37" w:rsidRDefault="002C0C87" w:rsidP="00187565">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 xml:space="preserve">Les GIE sont </w:t>
      </w:r>
      <w:r w:rsidR="00497270" w:rsidRPr="004A6E37">
        <w:rPr>
          <w:rFonts w:ascii="Times New Roman" w:eastAsia="Calibri" w:hAnsi="Times New Roman" w:cs="Times New Roman"/>
          <w:sz w:val="24"/>
          <w:szCs w:val="24"/>
        </w:rPr>
        <w:t>opérationnels dans le</w:t>
      </w:r>
      <w:r w:rsidR="00467A33" w:rsidRPr="004A6E37">
        <w:rPr>
          <w:rFonts w:ascii="Times New Roman" w:eastAsia="Calibri" w:hAnsi="Times New Roman" w:cs="Times New Roman"/>
          <w:sz w:val="24"/>
          <w:szCs w:val="24"/>
        </w:rPr>
        <w:t xml:space="preserve"> volet socia</w:t>
      </w:r>
      <w:r w:rsidR="00497270" w:rsidRPr="004A6E37">
        <w:rPr>
          <w:rFonts w:ascii="Times New Roman" w:eastAsia="Calibri" w:hAnsi="Times New Roman" w:cs="Times New Roman"/>
          <w:sz w:val="24"/>
          <w:szCs w:val="24"/>
        </w:rPr>
        <w:t xml:space="preserve">l </w:t>
      </w:r>
      <w:r w:rsidR="00467A33" w:rsidRPr="004A6E37">
        <w:rPr>
          <w:rFonts w:ascii="Times New Roman" w:eastAsia="Calibri" w:hAnsi="Times New Roman" w:cs="Times New Roman"/>
          <w:sz w:val="24"/>
          <w:szCs w:val="24"/>
        </w:rPr>
        <w:t xml:space="preserve">au niveau de la vie sociale et </w:t>
      </w:r>
      <w:r w:rsidR="00497270" w:rsidRPr="004A6E37">
        <w:rPr>
          <w:rFonts w:ascii="Times New Roman" w:eastAsia="Calibri" w:hAnsi="Times New Roman" w:cs="Times New Roman"/>
          <w:sz w:val="24"/>
          <w:szCs w:val="24"/>
        </w:rPr>
        <w:t xml:space="preserve">sont </w:t>
      </w:r>
      <w:r w:rsidR="00467A33" w:rsidRPr="004A6E37">
        <w:rPr>
          <w:rFonts w:ascii="Times New Roman" w:eastAsia="Calibri" w:hAnsi="Times New Roman" w:cs="Times New Roman"/>
          <w:sz w:val="24"/>
          <w:szCs w:val="24"/>
        </w:rPr>
        <w:t>animé</w:t>
      </w:r>
      <w:r w:rsidR="008F32B6" w:rsidRPr="004A6E37">
        <w:rPr>
          <w:rFonts w:ascii="Times New Roman" w:eastAsia="Calibri" w:hAnsi="Times New Roman" w:cs="Times New Roman"/>
          <w:sz w:val="24"/>
          <w:szCs w:val="24"/>
        </w:rPr>
        <w:t>s</w:t>
      </w:r>
      <w:r w:rsidR="00467A33" w:rsidRPr="004A6E37">
        <w:rPr>
          <w:rFonts w:ascii="Times New Roman" w:eastAsia="Calibri" w:hAnsi="Times New Roman" w:cs="Times New Roman"/>
          <w:sz w:val="24"/>
          <w:szCs w:val="24"/>
        </w:rPr>
        <w:t xml:space="preserve"> généralement par les jeunes diplômés.</w:t>
      </w:r>
      <w:r w:rsidR="006B0775" w:rsidRPr="004A6E37">
        <w:rPr>
          <w:rFonts w:ascii="Times New Roman" w:eastAsia="Calibri" w:hAnsi="Times New Roman" w:cs="Times New Roman"/>
          <w:sz w:val="24"/>
          <w:szCs w:val="24"/>
        </w:rPr>
        <w:t xml:space="preserve"> </w:t>
      </w:r>
      <w:r w:rsidR="00072682" w:rsidRPr="004A6E37">
        <w:rPr>
          <w:rFonts w:ascii="Times New Roman" w:eastAsia="Calibri" w:hAnsi="Times New Roman" w:cs="Times New Roman"/>
          <w:sz w:val="24"/>
          <w:szCs w:val="24"/>
        </w:rPr>
        <w:t>De 2018 à 2022, on dénombre 718 GIE nouvellement cr</w:t>
      </w:r>
      <w:r w:rsidR="00DB5397" w:rsidRPr="004A6E37">
        <w:rPr>
          <w:rFonts w:ascii="Times New Roman" w:eastAsia="Calibri" w:hAnsi="Times New Roman" w:cs="Times New Roman"/>
          <w:sz w:val="24"/>
          <w:szCs w:val="24"/>
        </w:rPr>
        <w:t>éés</w:t>
      </w:r>
      <w:r w:rsidR="00B14171" w:rsidRPr="004A6E37">
        <w:rPr>
          <w:rFonts w:ascii="Times New Roman" w:eastAsia="Calibri" w:hAnsi="Times New Roman" w:cs="Times New Roman"/>
          <w:sz w:val="24"/>
          <w:szCs w:val="24"/>
        </w:rPr>
        <w:t>.</w:t>
      </w:r>
      <w:r w:rsidR="00072682" w:rsidRPr="004A6E37">
        <w:rPr>
          <w:rFonts w:ascii="Times New Roman" w:eastAsia="Calibri" w:hAnsi="Times New Roman" w:cs="Times New Roman"/>
          <w:sz w:val="24"/>
          <w:szCs w:val="24"/>
        </w:rPr>
        <w:t xml:space="preserve"> </w:t>
      </w:r>
    </w:p>
    <w:p w14:paraId="0CA89922" w14:textId="77777777" w:rsidR="002C0C87" w:rsidRPr="004A6E37" w:rsidRDefault="00467A33" w:rsidP="00187565">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Nous n’avons</w:t>
      </w:r>
      <w:r w:rsidR="009728ED" w:rsidRPr="004A6E37">
        <w:rPr>
          <w:rFonts w:ascii="Times New Roman" w:eastAsia="Calibri" w:hAnsi="Times New Roman" w:cs="Times New Roman"/>
          <w:sz w:val="24"/>
          <w:szCs w:val="24"/>
        </w:rPr>
        <w:t xml:space="preserve"> pas</w:t>
      </w:r>
      <w:r w:rsidRPr="004A6E37">
        <w:rPr>
          <w:rFonts w:ascii="Times New Roman" w:eastAsia="Calibri" w:hAnsi="Times New Roman" w:cs="Times New Roman"/>
          <w:sz w:val="24"/>
          <w:szCs w:val="24"/>
        </w:rPr>
        <w:t xml:space="preserve"> eu de cas de blanchiment de capitaux ni de DOS relatifs à ce secteur. Par conséquent, nous n’avons pas évalué.   </w:t>
      </w:r>
    </w:p>
    <w:p w14:paraId="3B076B2B" w14:textId="77777777" w:rsidR="002C0C87" w:rsidRPr="004A6E37" w:rsidRDefault="007C39FF" w:rsidP="001F564C">
      <w:pPr>
        <w:pStyle w:val="Titre3"/>
        <w:numPr>
          <w:ilvl w:val="0"/>
          <w:numId w:val="0"/>
        </w:numPr>
        <w:ind w:left="720" w:hanging="720"/>
        <w:rPr>
          <w:rFonts w:eastAsia="Calibri"/>
          <w:sz w:val="24"/>
          <w:szCs w:val="24"/>
        </w:rPr>
      </w:pPr>
      <w:bookmarkStart w:id="68" w:name="_Toc126251894"/>
      <w:r w:rsidRPr="004A6E37">
        <w:rPr>
          <w:rFonts w:eastAsia="Calibri"/>
          <w:sz w:val="24"/>
          <w:szCs w:val="24"/>
        </w:rPr>
        <w:t>2.6</w:t>
      </w:r>
      <w:r w:rsidR="002C0C87" w:rsidRPr="004A6E37">
        <w:rPr>
          <w:rFonts w:eastAsia="Calibri"/>
          <w:sz w:val="24"/>
          <w:szCs w:val="24"/>
        </w:rPr>
        <w:t>. Coopératives</w:t>
      </w:r>
      <w:bookmarkEnd w:id="68"/>
    </w:p>
    <w:p w14:paraId="26A724D8" w14:textId="77777777" w:rsidR="00467A33" w:rsidRPr="004A6E37" w:rsidRDefault="0025458B" w:rsidP="00187565">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Enfin 2021, l</w:t>
      </w:r>
      <w:r w:rsidR="00B14171" w:rsidRPr="004A6E37">
        <w:rPr>
          <w:rFonts w:ascii="Times New Roman" w:eastAsia="Calibri" w:hAnsi="Times New Roman" w:cs="Times New Roman"/>
          <w:sz w:val="24"/>
          <w:szCs w:val="24"/>
        </w:rPr>
        <w:t>e nombre de sociétés coopératives immatriculées est de 30</w:t>
      </w:r>
      <w:r w:rsidR="00555D7F" w:rsidRPr="004A6E37">
        <w:rPr>
          <w:rFonts w:ascii="Times New Roman" w:eastAsia="Calibri" w:hAnsi="Times New Roman" w:cs="Times New Roman"/>
          <w:sz w:val="24"/>
          <w:szCs w:val="24"/>
        </w:rPr>
        <w:t>.</w:t>
      </w:r>
      <w:r w:rsidR="00B14171" w:rsidRPr="004A6E37">
        <w:rPr>
          <w:rFonts w:ascii="Times New Roman" w:eastAsia="Calibri" w:hAnsi="Times New Roman" w:cs="Times New Roman"/>
          <w:sz w:val="24"/>
          <w:szCs w:val="24"/>
        </w:rPr>
        <w:t>116</w:t>
      </w:r>
      <w:r w:rsidRPr="004A6E37">
        <w:rPr>
          <w:rFonts w:ascii="Times New Roman" w:eastAsia="Calibri" w:hAnsi="Times New Roman" w:cs="Times New Roman"/>
          <w:sz w:val="24"/>
          <w:szCs w:val="24"/>
        </w:rPr>
        <w:t xml:space="preserve"> suivant le tableau ci-dessous.</w:t>
      </w:r>
    </w:p>
    <w:p w14:paraId="753D2C3C" w14:textId="77777777" w:rsidR="0000352C" w:rsidRPr="004A6E37" w:rsidRDefault="0000352C" w:rsidP="00187565">
      <w:pPr>
        <w:spacing w:line="360" w:lineRule="auto"/>
        <w:jc w:val="both"/>
        <w:rPr>
          <w:rFonts w:ascii="Times New Roman" w:eastAsia="Calibri" w:hAnsi="Times New Roman" w:cs="Times New Roman"/>
          <w:sz w:val="24"/>
          <w:szCs w:val="24"/>
        </w:rPr>
      </w:pPr>
    </w:p>
    <w:p w14:paraId="46D6FBB9" w14:textId="77777777" w:rsidR="0000352C" w:rsidRPr="004A6E37" w:rsidRDefault="0000352C" w:rsidP="00187565">
      <w:pPr>
        <w:spacing w:line="360" w:lineRule="auto"/>
        <w:jc w:val="both"/>
        <w:rPr>
          <w:rFonts w:ascii="Times New Roman" w:eastAsia="Calibri" w:hAnsi="Times New Roman" w:cs="Times New Roman"/>
          <w:sz w:val="24"/>
          <w:szCs w:val="24"/>
        </w:rPr>
      </w:pPr>
    </w:p>
    <w:p w14:paraId="4083C0D9" w14:textId="77777777" w:rsidR="0000352C" w:rsidRPr="004A6E37" w:rsidRDefault="0000352C" w:rsidP="00187565">
      <w:pPr>
        <w:spacing w:line="360" w:lineRule="auto"/>
        <w:jc w:val="both"/>
        <w:rPr>
          <w:rFonts w:ascii="Times New Roman" w:eastAsia="Calibri" w:hAnsi="Times New Roman" w:cs="Times New Roman"/>
          <w:sz w:val="24"/>
          <w:szCs w:val="24"/>
        </w:rPr>
      </w:pPr>
    </w:p>
    <w:p w14:paraId="198A1A1A" w14:textId="77777777" w:rsidR="0000352C" w:rsidRPr="004A6E37" w:rsidRDefault="0000352C" w:rsidP="00187565">
      <w:pPr>
        <w:spacing w:line="360" w:lineRule="auto"/>
        <w:jc w:val="both"/>
        <w:rPr>
          <w:rFonts w:ascii="Times New Roman" w:eastAsia="Calibri" w:hAnsi="Times New Roman" w:cs="Times New Roman"/>
          <w:sz w:val="24"/>
          <w:szCs w:val="24"/>
        </w:rPr>
      </w:pPr>
    </w:p>
    <w:p w14:paraId="6218260B" w14:textId="77777777" w:rsidR="00B14171" w:rsidRPr="004A6E37" w:rsidRDefault="00690B1F" w:rsidP="00187565">
      <w:pPr>
        <w:pStyle w:val="En-tte"/>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lastRenderedPageBreak/>
        <w:t>Tableau n</w:t>
      </w:r>
      <w:r w:rsidR="0025458B" w:rsidRPr="004A6E37">
        <w:rPr>
          <w:rFonts w:ascii="Times New Roman" w:eastAsia="Times New Roman" w:hAnsi="Times New Roman" w:cs="Times New Roman"/>
          <w:b/>
          <w:sz w:val="24"/>
          <w:szCs w:val="24"/>
        </w:rPr>
        <w:t>°</w:t>
      </w:r>
    </w:p>
    <w:p w14:paraId="53786297" w14:textId="77777777" w:rsidR="0025458B" w:rsidRPr="004A6E37" w:rsidRDefault="0025458B" w:rsidP="00187565">
      <w:pPr>
        <w:pStyle w:val="En-tte"/>
        <w:spacing w:line="360" w:lineRule="auto"/>
        <w:ind w:left="708"/>
        <w:jc w:val="both"/>
        <w:rPr>
          <w:rFonts w:ascii="Times New Roman" w:eastAsia="Times New Roman" w:hAnsi="Times New Roman" w:cs="Times New Roman"/>
          <w:b/>
          <w:sz w:val="24"/>
          <w:szCs w:val="24"/>
        </w:rPr>
      </w:pPr>
    </w:p>
    <w:tbl>
      <w:tblPr>
        <w:tblW w:w="9492" w:type="dxa"/>
        <w:tblInd w:w="137" w:type="dxa"/>
        <w:tblCellMar>
          <w:left w:w="70" w:type="dxa"/>
          <w:right w:w="70" w:type="dxa"/>
        </w:tblCellMar>
        <w:tblLook w:val="04A0" w:firstRow="1" w:lastRow="0" w:firstColumn="1" w:lastColumn="0" w:noHBand="0" w:noVBand="1"/>
      </w:tblPr>
      <w:tblGrid>
        <w:gridCol w:w="709"/>
        <w:gridCol w:w="4057"/>
        <w:gridCol w:w="314"/>
        <w:gridCol w:w="860"/>
        <w:gridCol w:w="924"/>
        <w:gridCol w:w="860"/>
        <w:gridCol w:w="860"/>
        <w:gridCol w:w="911"/>
      </w:tblGrid>
      <w:tr w:rsidR="00BC1990" w:rsidRPr="004A6E37" w14:paraId="444AEE02" w14:textId="77777777" w:rsidTr="00D77F1F">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B1897" w14:textId="77777777" w:rsidR="00B14171" w:rsidRPr="004A6E37" w:rsidRDefault="00D77F1F" w:rsidP="00187565">
            <w:pPr>
              <w:spacing w:after="0" w:line="360" w:lineRule="auto"/>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N°O</w:t>
            </w:r>
          </w:p>
        </w:tc>
        <w:tc>
          <w:tcPr>
            <w:tcW w:w="43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9B3B9C" w14:textId="77777777" w:rsidR="00B14171" w:rsidRPr="004A6E37" w:rsidRDefault="00B14171" w:rsidP="00187565">
            <w:pPr>
              <w:spacing w:after="0" w:line="360" w:lineRule="auto"/>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RUBRIQUES</w:t>
            </w:r>
          </w:p>
        </w:tc>
        <w:tc>
          <w:tcPr>
            <w:tcW w:w="859" w:type="dxa"/>
            <w:tcBorders>
              <w:top w:val="single" w:sz="4" w:space="0" w:color="auto"/>
              <w:left w:val="nil"/>
              <w:bottom w:val="single" w:sz="4" w:space="0" w:color="auto"/>
              <w:right w:val="single" w:sz="4" w:space="0" w:color="auto"/>
            </w:tcBorders>
            <w:shd w:val="clear" w:color="000000" w:fill="E2EFDA"/>
            <w:noWrap/>
            <w:vAlign w:val="bottom"/>
            <w:hideMark/>
          </w:tcPr>
          <w:p w14:paraId="354AB8F2" w14:textId="77777777" w:rsidR="00B14171" w:rsidRPr="004A6E37" w:rsidRDefault="00B14171" w:rsidP="00187565">
            <w:pPr>
              <w:spacing w:after="0" w:line="360" w:lineRule="auto"/>
              <w:jc w:val="right"/>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2017</w:t>
            </w:r>
          </w:p>
        </w:tc>
        <w:tc>
          <w:tcPr>
            <w:tcW w:w="924" w:type="dxa"/>
            <w:tcBorders>
              <w:top w:val="single" w:sz="4" w:space="0" w:color="auto"/>
              <w:left w:val="nil"/>
              <w:bottom w:val="single" w:sz="4" w:space="0" w:color="auto"/>
              <w:right w:val="single" w:sz="4" w:space="0" w:color="auto"/>
            </w:tcBorders>
            <w:shd w:val="clear" w:color="000000" w:fill="E2EFDA"/>
            <w:noWrap/>
            <w:vAlign w:val="bottom"/>
            <w:hideMark/>
          </w:tcPr>
          <w:p w14:paraId="0EA5FDA0" w14:textId="77777777" w:rsidR="00B14171" w:rsidRPr="004A6E37" w:rsidRDefault="00B14171" w:rsidP="00187565">
            <w:pPr>
              <w:spacing w:after="0" w:line="360" w:lineRule="auto"/>
              <w:jc w:val="right"/>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2018</w:t>
            </w:r>
          </w:p>
        </w:tc>
        <w:tc>
          <w:tcPr>
            <w:tcW w:w="859" w:type="dxa"/>
            <w:tcBorders>
              <w:top w:val="single" w:sz="4" w:space="0" w:color="auto"/>
              <w:left w:val="nil"/>
              <w:bottom w:val="single" w:sz="4" w:space="0" w:color="auto"/>
              <w:right w:val="single" w:sz="4" w:space="0" w:color="auto"/>
            </w:tcBorders>
            <w:shd w:val="clear" w:color="000000" w:fill="E2EFDA"/>
            <w:noWrap/>
            <w:vAlign w:val="bottom"/>
            <w:hideMark/>
          </w:tcPr>
          <w:p w14:paraId="10FF9136" w14:textId="77777777" w:rsidR="00B14171" w:rsidRPr="004A6E37" w:rsidRDefault="00B14171" w:rsidP="00187565">
            <w:pPr>
              <w:spacing w:after="0" w:line="360" w:lineRule="auto"/>
              <w:jc w:val="right"/>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2019</w:t>
            </w:r>
          </w:p>
        </w:tc>
        <w:tc>
          <w:tcPr>
            <w:tcW w:w="859" w:type="dxa"/>
            <w:tcBorders>
              <w:top w:val="single" w:sz="4" w:space="0" w:color="auto"/>
              <w:left w:val="nil"/>
              <w:bottom w:val="single" w:sz="4" w:space="0" w:color="auto"/>
              <w:right w:val="single" w:sz="4" w:space="0" w:color="auto"/>
            </w:tcBorders>
            <w:shd w:val="clear" w:color="000000" w:fill="E2EFDA"/>
            <w:noWrap/>
            <w:vAlign w:val="bottom"/>
            <w:hideMark/>
          </w:tcPr>
          <w:p w14:paraId="37726CEE" w14:textId="77777777" w:rsidR="00B14171" w:rsidRPr="004A6E37" w:rsidRDefault="00B14171" w:rsidP="00187565">
            <w:pPr>
              <w:spacing w:after="0" w:line="360" w:lineRule="auto"/>
              <w:jc w:val="right"/>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2020</w:t>
            </w:r>
          </w:p>
        </w:tc>
        <w:tc>
          <w:tcPr>
            <w:tcW w:w="911" w:type="dxa"/>
            <w:tcBorders>
              <w:top w:val="single" w:sz="4" w:space="0" w:color="auto"/>
              <w:left w:val="nil"/>
              <w:bottom w:val="single" w:sz="4" w:space="0" w:color="auto"/>
              <w:right w:val="single" w:sz="4" w:space="0" w:color="auto"/>
            </w:tcBorders>
            <w:shd w:val="clear" w:color="000000" w:fill="E2EFDA"/>
            <w:noWrap/>
            <w:vAlign w:val="bottom"/>
            <w:hideMark/>
          </w:tcPr>
          <w:p w14:paraId="3BC9B5A9" w14:textId="77777777" w:rsidR="00B14171" w:rsidRPr="004A6E37" w:rsidRDefault="00B14171" w:rsidP="00187565">
            <w:pPr>
              <w:spacing w:after="0" w:line="360" w:lineRule="auto"/>
              <w:jc w:val="right"/>
              <w:rPr>
                <w:rFonts w:ascii="Times New Roman" w:eastAsia="Times New Roman" w:hAnsi="Times New Roman" w:cs="Times New Roman"/>
                <w:b/>
                <w:bCs/>
                <w:sz w:val="24"/>
                <w:szCs w:val="24"/>
                <w:lang w:eastAsia="fr-CA"/>
              </w:rPr>
            </w:pPr>
            <w:r w:rsidRPr="004A6E37">
              <w:rPr>
                <w:rFonts w:ascii="Times New Roman" w:eastAsia="Times New Roman" w:hAnsi="Times New Roman" w:cs="Times New Roman"/>
                <w:b/>
                <w:bCs/>
                <w:sz w:val="24"/>
                <w:szCs w:val="24"/>
                <w:lang w:eastAsia="fr-CA"/>
              </w:rPr>
              <w:t>2021</w:t>
            </w:r>
          </w:p>
        </w:tc>
      </w:tr>
      <w:tr w:rsidR="0025458B" w:rsidRPr="004A6E37" w14:paraId="563BD087" w14:textId="77777777" w:rsidTr="00D77F1F">
        <w:trPr>
          <w:trHeight w:val="40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99A5DC"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w:t>
            </w:r>
          </w:p>
        </w:tc>
        <w:tc>
          <w:tcPr>
            <w:tcW w:w="4371" w:type="dxa"/>
            <w:gridSpan w:val="2"/>
            <w:tcBorders>
              <w:top w:val="single" w:sz="4" w:space="0" w:color="auto"/>
              <w:left w:val="nil"/>
              <w:bottom w:val="single" w:sz="4" w:space="0" w:color="auto"/>
              <w:right w:val="single" w:sz="4" w:space="0" w:color="000000"/>
            </w:tcBorders>
            <w:shd w:val="clear" w:color="auto" w:fill="auto"/>
            <w:vAlign w:val="bottom"/>
            <w:hideMark/>
          </w:tcPr>
          <w:p w14:paraId="667CA84F"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Nombre Sociétés coop immatriculées OHADA</w:t>
            </w:r>
          </w:p>
        </w:tc>
        <w:tc>
          <w:tcPr>
            <w:tcW w:w="859" w:type="dxa"/>
            <w:tcBorders>
              <w:top w:val="nil"/>
              <w:left w:val="nil"/>
              <w:bottom w:val="single" w:sz="4" w:space="0" w:color="auto"/>
              <w:right w:val="single" w:sz="4" w:space="0" w:color="auto"/>
            </w:tcBorders>
            <w:shd w:val="clear" w:color="auto" w:fill="auto"/>
            <w:noWrap/>
            <w:vAlign w:val="bottom"/>
            <w:hideMark/>
          </w:tcPr>
          <w:p w14:paraId="5751D22A"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10441</w:t>
            </w:r>
          </w:p>
        </w:tc>
        <w:tc>
          <w:tcPr>
            <w:tcW w:w="924" w:type="dxa"/>
            <w:tcBorders>
              <w:top w:val="nil"/>
              <w:left w:val="nil"/>
              <w:bottom w:val="single" w:sz="4" w:space="0" w:color="auto"/>
              <w:right w:val="single" w:sz="4" w:space="0" w:color="auto"/>
            </w:tcBorders>
            <w:shd w:val="clear" w:color="auto" w:fill="auto"/>
            <w:noWrap/>
            <w:vAlign w:val="bottom"/>
            <w:hideMark/>
          </w:tcPr>
          <w:p w14:paraId="78F86B92"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18276</w:t>
            </w:r>
          </w:p>
        </w:tc>
        <w:tc>
          <w:tcPr>
            <w:tcW w:w="859" w:type="dxa"/>
            <w:tcBorders>
              <w:top w:val="nil"/>
              <w:left w:val="nil"/>
              <w:bottom w:val="single" w:sz="4" w:space="0" w:color="auto"/>
              <w:right w:val="single" w:sz="4" w:space="0" w:color="auto"/>
            </w:tcBorders>
            <w:shd w:val="clear" w:color="auto" w:fill="auto"/>
            <w:noWrap/>
            <w:vAlign w:val="bottom"/>
            <w:hideMark/>
          </w:tcPr>
          <w:p w14:paraId="6D43C9D4"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22199</w:t>
            </w:r>
          </w:p>
        </w:tc>
        <w:tc>
          <w:tcPr>
            <w:tcW w:w="859" w:type="dxa"/>
            <w:tcBorders>
              <w:top w:val="nil"/>
              <w:left w:val="nil"/>
              <w:bottom w:val="single" w:sz="4" w:space="0" w:color="auto"/>
              <w:right w:val="single" w:sz="4" w:space="0" w:color="auto"/>
            </w:tcBorders>
            <w:shd w:val="clear" w:color="auto" w:fill="auto"/>
            <w:noWrap/>
            <w:vAlign w:val="bottom"/>
            <w:hideMark/>
          </w:tcPr>
          <w:p w14:paraId="5CA2CBB7"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26056</w:t>
            </w:r>
          </w:p>
        </w:tc>
        <w:tc>
          <w:tcPr>
            <w:tcW w:w="911" w:type="dxa"/>
            <w:tcBorders>
              <w:top w:val="nil"/>
              <w:left w:val="nil"/>
              <w:bottom w:val="single" w:sz="4" w:space="0" w:color="auto"/>
              <w:right w:val="single" w:sz="4" w:space="0" w:color="auto"/>
            </w:tcBorders>
            <w:shd w:val="clear" w:color="auto" w:fill="auto"/>
            <w:noWrap/>
            <w:vAlign w:val="bottom"/>
            <w:hideMark/>
          </w:tcPr>
          <w:p w14:paraId="6C6E1580" w14:textId="77777777" w:rsidR="00B14171" w:rsidRPr="004A6E37" w:rsidRDefault="00B14171" w:rsidP="00187565">
            <w:pPr>
              <w:spacing w:after="0" w:line="360" w:lineRule="auto"/>
              <w:jc w:val="right"/>
              <w:rPr>
                <w:rFonts w:ascii="Times New Roman" w:eastAsia="Times New Roman" w:hAnsi="Times New Roman" w:cs="Times New Roman"/>
                <w:bCs/>
                <w:sz w:val="24"/>
                <w:szCs w:val="24"/>
                <w:lang w:eastAsia="fr-CA"/>
              </w:rPr>
            </w:pPr>
            <w:r w:rsidRPr="004A6E37">
              <w:rPr>
                <w:rFonts w:ascii="Times New Roman" w:eastAsia="Times New Roman" w:hAnsi="Times New Roman" w:cs="Times New Roman"/>
                <w:bCs/>
                <w:sz w:val="24"/>
                <w:szCs w:val="24"/>
                <w:lang w:eastAsia="fr-CA"/>
              </w:rPr>
              <w:t>30116</w:t>
            </w:r>
          </w:p>
        </w:tc>
      </w:tr>
      <w:tr w:rsidR="0025458B" w:rsidRPr="004A6E37" w14:paraId="4B3A559E" w14:textId="77777777" w:rsidTr="00D77F1F">
        <w:trPr>
          <w:trHeight w:val="4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BB9CCA"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2</w:t>
            </w:r>
          </w:p>
        </w:tc>
        <w:tc>
          <w:tcPr>
            <w:tcW w:w="4371" w:type="dxa"/>
            <w:gridSpan w:val="2"/>
            <w:tcBorders>
              <w:top w:val="single" w:sz="4" w:space="0" w:color="auto"/>
              <w:left w:val="nil"/>
              <w:bottom w:val="single" w:sz="4" w:space="0" w:color="auto"/>
              <w:right w:val="single" w:sz="4" w:space="0" w:color="000000"/>
            </w:tcBorders>
            <w:shd w:val="clear" w:color="auto" w:fill="auto"/>
            <w:vAlign w:val="bottom"/>
            <w:hideMark/>
          </w:tcPr>
          <w:p w14:paraId="6B7AD1BD"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Nombre de sociétés coopératives créées  par an</w:t>
            </w:r>
          </w:p>
        </w:tc>
        <w:tc>
          <w:tcPr>
            <w:tcW w:w="859" w:type="dxa"/>
            <w:tcBorders>
              <w:top w:val="nil"/>
              <w:left w:val="nil"/>
              <w:bottom w:val="single" w:sz="4" w:space="0" w:color="auto"/>
              <w:right w:val="single" w:sz="4" w:space="0" w:color="auto"/>
            </w:tcBorders>
            <w:shd w:val="clear" w:color="auto" w:fill="auto"/>
            <w:noWrap/>
            <w:vAlign w:val="bottom"/>
            <w:hideMark/>
          </w:tcPr>
          <w:p w14:paraId="61CD3020"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3284</w:t>
            </w:r>
          </w:p>
        </w:tc>
        <w:tc>
          <w:tcPr>
            <w:tcW w:w="924" w:type="dxa"/>
            <w:tcBorders>
              <w:top w:val="nil"/>
              <w:left w:val="nil"/>
              <w:bottom w:val="single" w:sz="4" w:space="0" w:color="auto"/>
              <w:right w:val="single" w:sz="4" w:space="0" w:color="auto"/>
            </w:tcBorders>
            <w:shd w:val="clear" w:color="auto" w:fill="auto"/>
            <w:noWrap/>
            <w:vAlign w:val="bottom"/>
            <w:hideMark/>
          </w:tcPr>
          <w:p w14:paraId="17BC2E31"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7835</w:t>
            </w:r>
          </w:p>
        </w:tc>
        <w:tc>
          <w:tcPr>
            <w:tcW w:w="859" w:type="dxa"/>
            <w:tcBorders>
              <w:top w:val="nil"/>
              <w:left w:val="nil"/>
              <w:bottom w:val="single" w:sz="4" w:space="0" w:color="auto"/>
              <w:right w:val="single" w:sz="4" w:space="0" w:color="auto"/>
            </w:tcBorders>
            <w:shd w:val="clear" w:color="auto" w:fill="auto"/>
            <w:noWrap/>
            <w:vAlign w:val="bottom"/>
            <w:hideMark/>
          </w:tcPr>
          <w:p w14:paraId="2944DD3A"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3923</w:t>
            </w:r>
          </w:p>
        </w:tc>
        <w:tc>
          <w:tcPr>
            <w:tcW w:w="859" w:type="dxa"/>
            <w:tcBorders>
              <w:top w:val="nil"/>
              <w:left w:val="nil"/>
              <w:bottom w:val="single" w:sz="4" w:space="0" w:color="auto"/>
              <w:right w:val="single" w:sz="4" w:space="0" w:color="auto"/>
            </w:tcBorders>
            <w:shd w:val="clear" w:color="auto" w:fill="auto"/>
            <w:noWrap/>
            <w:vAlign w:val="bottom"/>
            <w:hideMark/>
          </w:tcPr>
          <w:p w14:paraId="51E7C23A"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3857</w:t>
            </w:r>
          </w:p>
        </w:tc>
        <w:tc>
          <w:tcPr>
            <w:tcW w:w="911" w:type="dxa"/>
            <w:tcBorders>
              <w:top w:val="nil"/>
              <w:left w:val="nil"/>
              <w:bottom w:val="single" w:sz="4" w:space="0" w:color="auto"/>
              <w:right w:val="single" w:sz="4" w:space="0" w:color="auto"/>
            </w:tcBorders>
            <w:shd w:val="clear" w:color="auto" w:fill="auto"/>
            <w:noWrap/>
            <w:vAlign w:val="bottom"/>
            <w:hideMark/>
          </w:tcPr>
          <w:p w14:paraId="431301D6"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4060</w:t>
            </w:r>
          </w:p>
        </w:tc>
      </w:tr>
      <w:tr w:rsidR="00BC1990" w:rsidRPr="004A6E37" w14:paraId="3004BDF7" w14:textId="77777777" w:rsidTr="00D77F1F">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F3774D"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3</w:t>
            </w:r>
          </w:p>
        </w:tc>
        <w:tc>
          <w:tcPr>
            <w:tcW w:w="40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3483D6"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 xml:space="preserve">Nombre  cumulatif d'adhérents </w:t>
            </w:r>
          </w:p>
        </w:tc>
        <w:tc>
          <w:tcPr>
            <w:tcW w:w="314" w:type="dxa"/>
            <w:tcBorders>
              <w:top w:val="nil"/>
              <w:left w:val="nil"/>
              <w:bottom w:val="single" w:sz="4" w:space="0" w:color="auto"/>
              <w:right w:val="single" w:sz="4" w:space="0" w:color="auto"/>
            </w:tcBorders>
            <w:shd w:val="clear" w:color="auto" w:fill="auto"/>
            <w:noWrap/>
            <w:vAlign w:val="bottom"/>
            <w:hideMark/>
          </w:tcPr>
          <w:p w14:paraId="63B291CA"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H</w:t>
            </w:r>
          </w:p>
        </w:tc>
        <w:tc>
          <w:tcPr>
            <w:tcW w:w="859" w:type="dxa"/>
            <w:tcBorders>
              <w:top w:val="nil"/>
              <w:left w:val="nil"/>
              <w:bottom w:val="single" w:sz="4" w:space="0" w:color="auto"/>
              <w:right w:val="single" w:sz="4" w:space="0" w:color="auto"/>
            </w:tcBorders>
            <w:shd w:val="clear" w:color="auto" w:fill="auto"/>
            <w:noWrap/>
            <w:vAlign w:val="bottom"/>
            <w:hideMark/>
          </w:tcPr>
          <w:p w14:paraId="548FE5B2"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273628</w:t>
            </w:r>
          </w:p>
        </w:tc>
        <w:tc>
          <w:tcPr>
            <w:tcW w:w="924" w:type="dxa"/>
            <w:tcBorders>
              <w:top w:val="nil"/>
              <w:left w:val="nil"/>
              <w:bottom w:val="single" w:sz="4" w:space="0" w:color="auto"/>
              <w:right w:val="single" w:sz="4" w:space="0" w:color="auto"/>
            </w:tcBorders>
            <w:shd w:val="clear" w:color="auto" w:fill="auto"/>
            <w:noWrap/>
            <w:vAlign w:val="bottom"/>
            <w:hideMark/>
          </w:tcPr>
          <w:p w14:paraId="2F6BCC69"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671709</w:t>
            </w:r>
          </w:p>
        </w:tc>
        <w:tc>
          <w:tcPr>
            <w:tcW w:w="859" w:type="dxa"/>
            <w:tcBorders>
              <w:top w:val="nil"/>
              <w:left w:val="nil"/>
              <w:bottom w:val="single" w:sz="4" w:space="0" w:color="auto"/>
              <w:right w:val="single" w:sz="4" w:space="0" w:color="auto"/>
            </w:tcBorders>
            <w:shd w:val="clear" w:color="auto" w:fill="auto"/>
            <w:noWrap/>
            <w:vAlign w:val="bottom"/>
            <w:hideMark/>
          </w:tcPr>
          <w:p w14:paraId="558D9D74"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663480</w:t>
            </w:r>
          </w:p>
        </w:tc>
        <w:tc>
          <w:tcPr>
            <w:tcW w:w="859" w:type="dxa"/>
            <w:tcBorders>
              <w:top w:val="nil"/>
              <w:left w:val="nil"/>
              <w:bottom w:val="single" w:sz="4" w:space="0" w:color="auto"/>
              <w:right w:val="single" w:sz="4" w:space="0" w:color="auto"/>
            </w:tcBorders>
            <w:shd w:val="clear" w:color="auto" w:fill="auto"/>
            <w:noWrap/>
            <w:vAlign w:val="bottom"/>
            <w:hideMark/>
          </w:tcPr>
          <w:p w14:paraId="34DE45A8"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764610</w:t>
            </w:r>
          </w:p>
        </w:tc>
        <w:tc>
          <w:tcPr>
            <w:tcW w:w="911" w:type="dxa"/>
            <w:tcBorders>
              <w:top w:val="nil"/>
              <w:left w:val="nil"/>
              <w:bottom w:val="single" w:sz="4" w:space="0" w:color="auto"/>
              <w:right w:val="single" w:sz="4" w:space="0" w:color="auto"/>
            </w:tcBorders>
            <w:shd w:val="clear" w:color="auto" w:fill="auto"/>
            <w:noWrap/>
            <w:vAlign w:val="bottom"/>
            <w:hideMark/>
          </w:tcPr>
          <w:p w14:paraId="4E2301B1" w14:textId="77777777" w:rsidR="00B14171" w:rsidRPr="004A6E37" w:rsidRDefault="00B14171" w:rsidP="00187565">
            <w:pPr>
              <w:spacing w:after="0" w:line="360" w:lineRule="auto"/>
              <w:jc w:val="right"/>
              <w:rPr>
                <w:rFonts w:ascii="Times New Roman" w:eastAsia="Times New Roman" w:hAnsi="Times New Roman" w:cs="Times New Roman"/>
                <w:bCs/>
                <w:sz w:val="24"/>
                <w:szCs w:val="24"/>
                <w:lang w:eastAsia="fr-CA"/>
              </w:rPr>
            </w:pPr>
            <w:r w:rsidRPr="004A6E37">
              <w:rPr>
                <w:rFonts w:ascii="Times New Roman" w:eastAsia="Times New Roman" w:hAnsi="Times New Roman" w:cs="Times New Roman"/>
                <w:bCs/>
                <w:sz w:val="24"/>
                <w:szCs w:val="24"/>
                <w:lang w:eastAsia="fr-CA"/>
              </w:rPr>
              <w:t>864343</w:t>
            </w:r>
          </w:p>
        </w:tc>
      </w:tr>
      <w:tr w:rsidR="00BC1990" w:rsidRPr="004A6E37" w14:paraId="7ABCB85A" w14:textId="77777777" w:rsidTr="00D77F1F">
        <w:trPr>
          <w:trHeight w:val="300"/>
        </w:trPr>
        <w:tc>
          <w:tcPr>
            <w:tcW w:w="709" w:type="dxa"/>
            <w:vMerge/>
            <w:tcBorders>
              <w:top w:val="nil"/>
              <w:left w:val="single" w:sz="4" w:space="0" w:color="auto"/>
              <w:bottom w:val="single" w:sz="4" w:space="0" w:color="000000"/>
              <w:right w:val="single" w:sz="4" w:space="0" w:color="auto"/>
            </w:tcBorders>
            <w:vAlign w:val="center"/>
            <w:hideMark/>
          </w:tcPr>
          <w:p w14:paraId="40F87E54"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p>
        </w:tc>
        <w:tc>
          <w:tcPr>
            <w:tcW w:w="4057" w:type="dxa"/>
            <w:vMerge/>
            <w:tcBorders>
              <w:top w:val="nil"/>
              <w:left w:val="single" w:sz="4" w:space="0" w:color="auto"/>
              <w:bottom w:val="single" w:sz="4" w:space="0" w:color="000000"/>
              <w:right w:val="single" w:sz="4" w:space="0" w:color="auto"/>
            </w:tcBorders>
            <w:vAlign w:val="center"/>
            <w:hideMark/>
          </w:tcPr>
          <w:p w14:paraId="18132EF1"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p>
        </w:tc>
        <w:tc>
          <w:tcPr>
            <w:tcW w:w="314" w:type="dxa"/>
            <w:tcBorders>
              <w:top w:val="nil"/>
              <w:left w:val="nil"/>
              <w:bottom w:val="single" w:sz="4" w:space="0" w:color="auto"/>
              <w:right w:val="single" w:sz="4" w:space="0" w:color="auto"/>
            </w:tcBorders>
            <w:shd w:val="clear" w:color="auto" w:fill="auto"/>
            <w:noWrap/>
            <w:vAlign w:val="bottom"/>
            <w:hideMark/>
          </w:tcPr>
          <w:p w14:paraId="32FC7F89"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F</w:t>
            </w:r>
          </w:p>
        </w:tc>
        <w:tc>
          <w:tcPr>
            <w:tcW w:w="859" w:type="dxa"/>
            <w:tcBorders>
              <w:top w:val="nil"/>
              <w:left w:val="nil"/>
              <w:bottom w:val="single" w:sz="4" w:space="0" w:color="auto"/>
              <w:right w:val="single" w:sz="4" w:space="0" w:color="auto"/>
            </w:tcBorders>
            <w:shd w:val="clear" w:color="auto" w:fill="auto"/>
            <w:noWrap/>
            <w:vAlign w:val="bottom"/>
            <w:hideMark/>
          </w:tcPr>
          <w:p w14:paraId="1BB57626"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110956</w:t>
            </w:r>
          </w:p>
        </w:tc>
        <w:tc>
          <w:tcPr>
            <w:tcW w:w="924" w:type="dxa"/>
            <w:tcBorders>
              <w:top w:val="nil"/>
              <w:left w:val="nil"/>
              <w:bottom w:val="single" w:sz="4" w:space="0" w:color="auto"/>
              <w:right w:val="single" w:sz="4" w:space="0" w:color="auto"/>
            </w:tcBorders>
            <w:shd w:val="clear" w:color="auto" w:fill="auto"/>
            <w:noWrap/>
            <w:vAlign w:val="bottom"/>
            <w:hideMark/>
          </w:tcPr>
          <w:p w14:paraId="1B825F4E"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226493</w:t>
            </w:r>
          </w:p>
        </w:tc>
        <w:tc>
          <w:tcPr>
            <w:tcW w:w="859" w:type="dxa"/>
            <w:tcBorders>
              <w:top w:val="nil"/>
              <w:left w:val="nil"/>
              <w:bottom w:val="single" w:sz="4" w:space="0" w:color="auto"/>
              <w:right w:val="single" w:sz="4" w:space="0" w:color="auto"/>
            </w:tcBorders>
            <w:shd w:val="clear" w:color="auto" w:fill="auto"/>
            <w:noWrap/>
            <w:vAlign w:val="bottom"/>
            <w:hideMark/>
          </w:tcPr>
          <w:p w14:paraId="738F0275"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299146</w:t>
            </w:r>
          </w:p>
        </w:tc>
        <w:tc>
          <w:tcPr>
            <w:tcW w:w="859" w:type="dxa"/>
            <w:tcBorders>
              <w:top w:val="nil"/>
              <w:left w:val="nil"/>
              <w:bottom w:val="single" w:sz="4" w:space="0" w:color="auto"/>
              <w:right w:val="single" w:sz="4" w:space="0" w:color="auto"/>
            </w:tcBorders>
            <w:shd w:val="clear" w:color="auto" w:fill="auto"/>
            <w:noWrap/>
            <w:vAlign w:val="bottom"/>
            <w:hideMark/>
          </w:tcPr>
          <w:p w14:paraId="505E3B83"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366717</w:t>
            </w:r>
          </w:p>
        </w:tc>
        <w:tc>
          <w:tcPr>
            <w:tcW w:w="911" w:type="dxa"/>
            <w:tcBorders>
              <w:top w:val="nil"/>
              <w:left w:val="nil"/>
              <w:bottom w:val="single" w:sz="4" w:space="0" w:color="auto"/>
              <w:right w:val="single" w:sz="4" w:space="0" w:color="auto"/>
            </w:tcBorders>
            <w:shd w:val="clear" w:color="auto" w:fill="auto"/>
            <w:noWrap/>
            <w:vAlign w:val="bottom"/>
            <w:hideMark/>
          </w:tcPr>
          <w:p w14:paraId="4A1DF7EA" w14:textId="77777777" w:rsidR="00B14171" w:rsidRPr="004A6E37" w:rsidRDefault="00B14171" w:rsidP="00187565">
            <w:pPr>
              <w:spacing w:after="0" w:line="360" w:lineRule="auto"/>
              <w:jc w:val="right"/>
              <w:rPr>
                <w:rFonts w:ascii="Times New Roman" w:eastAsia="Times New Roman" w:hAnsi="Times New Roman" w:cs="Times New Roman"/>
                <w:bCs/>
                <w:sz w:val="24"/>
                <w:szCs w:val="24"/>
                <w:lang w:eastAsia="fr-CA"/>
              </w:rPr>
            </w:pPr>
            <w:r w:rsidRPr="004A6E37">
              <w:rPr>
                <w:rFonts w:ascii="Times New Roman" w:eastAsia="Times New Roman" w:hAnsi="Times New Roman" w:cs="Times New Roman"/>
                <w:bCs/>
                <w:sz w:val="24"/>
                <w:szCs w:val="24"/>
                <w:lang w:eastAsia="fr-CA"/>
              </w:rPr>
              <w:t>451146</w:t>
            </w:r>
          </w:p>
        </w:tc>
      </w:tr>
      <w:tr w:rsidR="00BC1990" w:rsidRPr="004A6E37" w14:paraId="56E91DFB" w14:textId="77777777" w:rsidTr="00D77F1F">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4F94790"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4</w:t>
            </w:r>
          </w:p>
        </w:tc>
        <w:tc>
          <w:tcPr>
            <w:tcW w:w="40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3B2452"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 xml:space="preserve">Nombre  d'adhérents par an </w:t>
            </w:r>
          </w:p>
        </w:tc>
        <w:tc>
          <w:tcPr>
            <w:tcW w:w="314" w:type="dxa"/>
            <w:tcBorders>
              <w:top w:val="nil"/>
              <w:left w:val="nil"/>
              <w:bottom w:val="single" w:sz="4" w:space="0" w:color="auto"/>
              <w:right w:val="single" w:sz="4" w:space="0" w:color="auto"/>
            </w:tcBorders>
            <w:shd w:val="clear" w:color="auto" w:fill="auto"/>
            <w:noWrap/>
            <w:vAlign w:val="bottom"/>
            <w:hideMark/>
          </w:tcPr>
          <w:p w14:paraId="29ED42CB"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H</w:t>
            </w:r>
          </w:p>
        </w:tc>
        <w:tc>
          <w:tcPr>
            <w:tcW w:w="859" w:type="dxa"/>
            <w:tcBorders>
              <w:top w:val="nil"/>
              <w:left w:val="nil"/>
              <w:bottom w:val="single" w:sz="4" w:space="0" w:color="auto"/>
              <w:right w:val="single" w:sz="4" w:space="0" w:color="auto"/>
            </w:tcBorders>
            <w:shd w:val="clear" w:color="auto" w:fill="auto"/>
            <w:noWrap/>
            <w:vAlign w:val="bottom"/>
            <w:hideMark/>
          </w:tcPr>
          <w:p w14:paraId="0E2839E5"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185693</w:t>
            </w:r>
          </w:p>
        </w:tc>
        <w:tc>
          <w:tcPr>
            <w:tcW w:w="924" w:type="dxa"/>
            <w:tcBorders>
              <w:top w:val="nil"/>
              <w:left w:val="nil"/>
              <w:bottom w:val="single" w:sz="4" w:space="0" w:color="auto"/>
              <w:right w:val="single" w:sz="4" w:space="0" w:color="auto"/>
            </w:tcBorders>
            <w:shd w:val="clear" w:color="auto" w:fill="auto"/>
            <w:noWrap/>
            <w:vAlign w:val="bottom"/>
            <w:hideMark/>
          </w:tcPr>
          <w:p w14:paraId="3841B8FE"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121507</w:t>
            </w:r>
          </w:p>
        </w:tc>
        <w:tc>
          <w:tcPr>
            <w:tcW w:w="859" w:type="dxa"/>
            <w:tcBorders>
              <w:top w:val="nil"/>
              <w:left w:val="nil"/>
              <w:bottom w:val="single" w:sz="4" w:space="0" w:color="auto"/>
              <w:right w:val="single" w:sz="4" w:space="0" w:color="auto"/>
            </w:tcBorders>
            <w:shd w:val="clear" w:color="auto" w:fill="auto"/>
            <w:noWrap/>
            <w:vAlign w:val="bottom"/>
            <w:hideMark/>
          </w:tcPr>
          <w:p w14:paraId="4C62C7F5"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90153</w:t>
            </w:r>
          </w:p>
        </w:tc>
        <w:tc>
          <w:tcPr>
            <w:tcW w:w="859" w:type="dxa"/>
            <w:tcBorders>
              <w:top w:val="nil"/>
              <w:left w:val="nil"/>
              <w:bottom w:val="single" w:sz="4" w:space="0" w:color="auto"/>
              <w:right w:val="single" w:sz="4" w:space="0" w:color="auto"/>
            </w:tcBorders>
            <w:shd w:val="clear" w:color="auto" w:fill="auto"/>
            <w:noWrap/>
            <w:vAlign w:val="bottom"/>
            <w:hideMark/>
          </w:tcPr>
          <w:p w14:paraId="049DDA20"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100578</w:t>
            </w:r>
          </w:p>
        </w:tc>
        <w:tc>
          <w:tcPr>
            <w:tcW w:w="911" w:type="dxa"/>
            <w:tcBorders>
              <w:top w:val="nil"/>
              <w:left w:val="nil"/>
              <w:bottom w:val="single" w:sz="4" w:space="0" w:color="auto"/>
              <w:right w:val="single" w:sz="4" w:space="0" w:color="auto"/>
            </w:tcBorders>
            <w:shd w:val="clear" w:color="auto" w:fill="auto"/>
            <w:noWrap/>
            <w:vAlign w:val="bottom"/>
            <w:hideMark/>
          </w:tcPr>
          <w:p w14:paraId="36C5A21E"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85528</w:t>
            </w:r>
          </w:p>
        </w:tc>
      </w:tr>
      <w:tr w:rsidR="00BC1990" w:rsidRPr="004A6E37" w14:paraId="608D562D" w14:textId="77777777" w:rsidTr="00D77F1F">
        <w:trPr>
          <w:trHeight w:val="300"/>
        </w:trPr>
        <w:tc>
          <w:tcPr>
            <w:tcW w:w="709" w:type="dxa"/>
            <w:vMerge/>
            <w:tcBorders>
              <w:top w:val="nil"/>
              <w:left w:val="single" w:sz="4" w:space="0" w:color="auto"/>
              <w:bottom w:val="single" w:sz="4" w:space="0" w:color="000000"/>
              <w:right w:val="single" w:sz="4" w:space="0" w:color="auto"/>
            </w:tcBorders>
            <w:vAlign w:val="center"/>
            <w:hideMark/>
          </w:tcPr>
          <w:p w14:paraId="48301228"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p>
        </w:tc>
        <w:tc>
          <w:tcPr>
            <w:tcW w:w="4057" w:type="dxa"/>
            <w:vMerge/>
            <w:tcBorders>
              <w:top w:val="nil"/>
              <w:left w:val="single" w:sz="4" w:space="0" w:color="auto"/>
              <w:bottom w:val="single" w:sz="4" w:space="0" w:color="000000"/>
              <w:right w:val="single" w:sz="4" w:space="0" w:color="auto"/>
            </w:tcBorders>
            <w:vAlign w:val="center"/>
            <w:hideMark/>
          </w:tcPr>
          <w:p w14:paraId="7735588D"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p>
        </w:tc>
        <w:tc>
          <w:tcPr>
            <w:tcW w:w="314" w:type="dxa"/>
            <w:tcBorders>
              <w:top w:val="nil"/>
              <w:left w:val="nil"/>
              <w:bottom w:val="single" w:sz="4" w:space="0" w:color="auto"/>
              <w:right w:val="single" w:sz="4" w:space="0" w:color="auto"/>
            </w:tcBorders>
            <w:shd w:val="clear" w:color="auto" w:fill="auto"/>
            <w:noWrap/>
            <w:vAlign w:val="bottom"/>
            <w:hideMark/>
          </w:tcPr>
          <w:p w14:paraId="54931920" w14:textId="77777777" w:rsidR="00B14171" w:rsidRPr="004A6E37" w:rsidRDefault="00B14171" w:rsidP="00187565">
            <w:pPr>
              <w:spacing w:after="0" w:line="360" w:lineRule="auto"/>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F</w:t>
            </w:r>
          </w:p>
        </w:tc>
        <w:tc>
          <w:tcPr>
            <w:tcW w:w="859" w:type="dxa"/>
            <w:tcBorders>
              <w:top w:val="nil"/>
              <w:left w:val="nil"/>
              <w:bottom w:val="single" w:sz="4" w:space="0" w:color="auto"/>
              <w:right w:val="single" w:sz="4" w:space="0" w:color="auto"/>
            </w:tcBorders>
            <w:shd w:val="clear" w:color="auto" w:fill="auto"/>
            <w:noWrap/>
            <w:vAlign w:val="bottom"/>
            <w:hideMark/>
          </w:tcPr>
          <w:p w14:paraId="2A37BCDD"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71317</w:t>
            </w:r>
          </w:p>
        </w:tc>
        <w:tc>
          <w:tcPr>
            <w:tcW w:w="924" w:type="dxa"/>
            <w:tcBorders>
              <w:top w:val="nil"/>
              <w:left w:val="nil"/>
              <w:bottom w:val="single" w:sz="4" w:space="0" w:color="auto"/>
              <w:right w:val="single" w:sz="4" w:space="0" w:color="auto"/>
            </w:tcBorders>
            <w:shd w:val="clear" w:color="auto" w:fill="auto"/>
            <w:noWrap/>
            <w:vAlign w:val="bottom"/>
            <w:hideMark/>
          </w:tcPr>
          <w:p w14:paraId="375534C4"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71067</w:t>
            </w:r>
          </w:p>
        </w:tc>
        <w:tc>
          <w:tcPr>
            <w:tcW w:w="859" w:type="dxa"/>
            <w:tcBorders>
              <w:top w:val="nil"/>
              <w:left w:val="nil"/>
              <w:bottom w:val="single" w:sz="4" w:space="0" w:color="auto"/>
              <w:right w:val="single" w:sz="4" w:space="0" w:color="auto"/>
            </w:tcBorders>
            <w:shd w:val="clear" w:color="auto" w:fill="auto"/>
            <w:noWrap/>
            <w:vAlign w:val="bottom"/>
            <w:hideMark/>
          </w:tcPr>
          <w:p w14:paraId="5AD60BCF"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59858</w:t>
            </w:r>
          </w:p>
        </w:tc>
        <w:tc>
          <w:tcPr>
            <w:tcW w:w="859" w:type="dxa"/>
            <w:tcBorders>
              <w:top w:val="nil"/>
              <w:left w:val="nil"/>
              <w:bottom w:val="single" w:sz="4" w:space="0" w:color="auto"/>
              <w:right w:val="single" w:sz="4" w:space="0" w:color="auto"/>
            </w:tcBorders>
            <w:shd w:val="clear" w:color="auto" w:fill="auto"/>
            <w:noWrap/>
            <w:vAlign w:val="bottom"/>
            <w:hideMark/>
          </w:tcPr>
          <w:p w14:paraId="608FDE69"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62207</w:t>
            </w:r>
          </w:p>
        </w:tc>
        <w:tc>
          <w:tcPr>
            <w:tcW w:w="911" w:type="dxa"/>
            <w:tcBorders>
              <w:top w:val="nil"/>
              <w:left w:val="nil"/>
              <w:bottom w:val="single" w:sz="4" w:space="0" w:color="auto"/>
              <w:right w:val="single" w:sz="4" w:space="0" w:color="auto"/>
            </w:tcBorders>
            <w:shd w:val="clear" w:color="auto" w:fill="auto"/>
            <w:noWrap/>
            <w:vAlign w:val="bottom"/>
            <w:hideMark/>
          </w:tcPr>
          <w:p w14:paraId="0A5456A9" w14:textId="77777777" w:rsidR="00B14171" w:rsidRPr="004A6E37" w:rsidRDefault="00B14171" w:rsidP="00187565">
            <w:pPr>
              <w:spacing w:after="0" w:line="360" w:lineRule="auto"/>
              <w:jc w:val="right"/>
              <w:rPr>
                <w:rFonts w:ascii="Times New Roman" w:eastAsia="Times New Roman" w:hAnsi="Times New Roman" w:cs="Times New Roman"/>
                <w:sz w:val="24"/>
                <w:szCs w:val="24"/>
                <w:lang w:eastAsia="fr-CA"/>
              </w:rPr>
            </w:pPr>
            <w:r w:rsidRPr="004A6E37">
              <w:rPr>
                <w:rFonts w:ascii="Times New Roman" w:eastAsia="Times New Roman" w:hAnsi="Times New Roman" w:cs="Times New Roman"/>
                <w:sz w:val="24"/>
                <w:szCs w:val="24"/>
                <w:lang w:eastAsia="fr-CA"/>
              </w:rPr>
              <w:t>74957</w:t>
            </w:r>
          </w:p>
        </w:tc>
      </w:tr>
    </w:tbl>
    <w:p w14:paraId="292FF2D0" w14:textId="77777777" w:rsidR="00C07BB2" w:rsidRPr="004A6E37" w:rsidRDefault="00C07BB2" w:rsidP="00187565">
      <w:pPr>
        <w:spacing w:line="360" w:lineRule="auto"/>
        <w:jc w:val="both"/>
        <w:rPr>
          <w:rFonts w:ascii="Times New Roman" w:eastAsia="Calibri" w:hAnsi="Times New Roman" w:cs="Times New Roman"/>
          <w:sz w:val="2"/>
          <w:szCs w:val="24"/>
        </w:rPr>
      </w:pPr>
    </w:p>
    <w:p w14:paraId="2F82CFB5" w14:textId="77777777" w:rsidR="007D4136" w:rsidRPr="004A6E37" w:rsidRDefault="007D4136" w:rsidP="00187565">
      <w:pPr>
        <w:spacing w:line="360" w:lineRule="auto"/>
        <w:jc w:val="both"/>
        <w:rPr>
          <w:rFonts w:ascii="Times New Roman" w:eastAsia="Calibri" w:hAnsi="Times New Roman" w:cs="Times New Roman"/>
          <w:sz w:val="24"/>
          <w:szCs w:val="24"/>
        </w:rPr>
      </w:pPr>
      <w:r w:rsidRPr="004A6E37">
        <w:rPr>
          <w:rFonts w:ascii="Times New Roman" w:eastAsia="Calibri" w:hAnsi="Times New Roman" w:cs="Times New Roman"/>
          <w:sz w:val="24"/>
          <w:szCs w:val="24"/>
        </w:rPr>
        <w:t>Les coopératives au Mali sont contrôlées et supervisé</w:t>
      </w:r>
      <w:r w:rsidR="009E3D23" w:rsidRPr="004A6E37">
        <w:rPr>
          <w:rFonts w:ascii="Times New Roman" w:eastAsia="Calibri" w:hAnsi="Times New Roman" w:cs="Times New Roman"/>
          <w:sz w:val="24"/>
          <w:szCs w:val="24"/>
        </w:rPr>
        <w:t>e</w:t>
      </w:r>
      <w:r w:rsidRPr="004A6E37">
        <w:rPr>
          <w:rFonts w:ascii="Times New Roman" w:eastAsia="Calibri" w:hAnsi="Times New Roman" w:cs="Times New Roman"/>
          <w:sz w:val="24"/>
          <w:szCs w:val="24"/>
        </w:rPr>
        <w:t>s par les structures de la Direction Nationale de la Protection Sociale et de l’Economie Solidaire (DNPES). Suite aux réponses aux questionnaires et des entretiens avec les responsables de la DNPES, il ressort que ces structures in</w:t>
      </w:r>
      <w:r w:rsidR="009E3D23" w:rsidRPr="004A6E37">
        <w:rPr>
          <w:rFonts w:ascii="Times New Roman" w:eastAsia="Calibri" w:hAnsi="Times New Roman" w:cs="Times New Roman"/>
          <w:sz w:val="24"/>
          <w:szCs w:val="24"/>
        </w:rPr>
        <w:t>terviennent peu dans le secteur</w:t>
      </w:r>
      <w:r w:rsidRPr="004A6E37">
        <w:rPr>
          <w:rFonts w:ascii="Times New Roman" w:eastAsia="Calibri" w:hAnsi="Times New Roman" w:cs="Times New Roman"/>
          <w:sz w:val="24"/>
          <w:szCs w:val="24"/>
        </w:rPr>
        <w:t xml:space="preserve"> des activités commerciales et sont soumis</w:t>
      </w:r>
      <w:r w:rsidR="009E3D23" w:rsidRPr="004A6E37">
        <w:rPr>
          <w:rFonts w:ascii="Times New Roman" w:eastAsia="Calibri" w:hAnsi="Times New Roman" w:cs="Times New Roman"/>
          <w:sz w:val="24"/>
          <w:szCs w:val="24"/>
        </w:rPr>
        <w:t>es</w:t>
      </w:r>
      <w:r w:rsidRPr="004A6E37">
        <w:rPr>
          <w:rFonts w:ascii="Times New Roman" w:eastAsia="Calibri" w:hAnsi="Times New Roman" w:cs="Times New Roman"/>
          <w:sz w:val="24"/>
          <w:szCs w:val="24"/>
        </w:rPr>
        <w:t xml:space="preserve"> régulièrement au contrôle des autorités administratives. Par conséquent, le niveau de risque auquel elles sont exposées est faible.</w:t>
      </w:r>
      <w:r w:rsidR="000C1E1D" w:rsidRPr="004A6E37">
        <w:rPr>
          <w:rFonts w:ascii="Times New Roman" w:eastAsia="Calibri" w:hAnsi="Times New Roman" w:cs="Times New Roman"/>
          <w:sz w:val="24"/>
          <w:szCs w:val="24"/>
        </w:rPr>
        <w:t xml:space="preserve">                                        </w:t>
      </w:r>
    </w:p>
    <w:p w14:paraId="48672ACB" w14:textId="77777777" w:rsidR="002C0C87" w:rsidRPr="004A6E37" w:rsidRDefault="007C39FF" w:rsidP="001F564C">
      <w:pPr>
        <w:pStyle w:val="En-tte"/>
        <w:spacing w:line="360" w:lineRule="auto"/>
        <w:jc w:val="both"/>
        <w:outlineLvl w:val="2"/>
        <w:rPr>
          <w:rFonts w:ascii="Times New Roman" w:eastAsia="Times New Roman" w:hAnsi="Times New Roman" w:cs="Times New Roman"/>
          <w:b/>
          <w:sz w:val="24"/>
          <w:szCs w:val="24"/>
        </w:rPr>
      </w:pPr>
      <w:bookmarkStart w:id="69" w:name="_Toc126251895"/>
      <w:r w:rsidRPr="004A6E37">
        <w:rPr>
          <w:rFonts w:ascii="Times New Roman" w:eastAsia="Times New Roman" w:hAnsi="Times New Roman" w:cs="Times New Roman"/>
          <w:b/>
          <w:sz w:val="24"/>
          <w:szCs w:val="24"/>
        </w:rPr>
        <w:t>2.7</w:t>
      </w:r>
      <w:r w:rsidR="002C0C87" w:rsidRPr="004A6E37">
        <w:rPr>
          <w:rFonts w:ascii="Times New Roman" w:eastAsia="Times New Roman" w:hAnsi="Times New Roman" w:cs="Times New Roman"/>
          <w:b/>
          <w:sz w:val="24"/>
          <w:szCs w:val="24"/>
        </w:rPr>
        <w:t xml:space="preserve">. Fondations </w:t>
      </w:r>
      <w:r w:rsidR="00824BB3" w:rsidRPr="004A6E37">
        <w:rPr>
          <w:rFonts w:ascii="Times New Roman" w:eastAsia="Times New Roman" w:hAnsi="Times New Roman" w:cs="Times New Roman"/>
          <w:b/>
          <w:sz w:val="24"/>
          <w:szCs w:val="24"/>
        </w:rPr>
        <w:t>-</w:t>
      </w:r>
      <w:r w:rsidR="002C0C87" w:rsidRPr="004A6E37">
        <w:rPr>
          <w:rFonts w:ascii="Times New Roman" w:eastAsia="Times New Roman" w:hAnsi="Times New Roman" w:cs="Times New Roman"/>
          <w:b/>
          <w:sz w:val="24"/>
          <w:szCs w:val="24"/>
        </w:rPr>
        <w:t>Associations</w:t>
      </w:r>
      <w:bookmarkEnd w:id="69"/>
    </w:p>
    <w:p w14:paraId="38E197FF" w14:textId="77777777" w:rsidR="00911B3E" w:rsidRPr="004A6E37" w:rsidRDefault="00911B3E" w:rsidP="00187565">
      <w:pPr>
        <w:pStyle w:val="Paragraphedeliste"/>
        <w:spacing w:after="0" w:line="360" w:lineRule="auto"/>
        <w:ind w:left="0"/>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L’évaluation nationale des risques</w:t>
      </w:r>
      <w:r w:rsidR="003707D6" w:rsidRPr="004A6E37">
        <w:rPr>
          <w:rFonts w:ascii="Times New Roman" w:eastAsia="Times New Roman" w:hAnsi="Times New Roman" w:cs="Times New Roman"/>
          <w:sz w:val="24"/>
          <w:szCs w:val="24"/>
        </w:rPr>
        <w:t xml:space="preserve"> </w:t>
      </w:r>
      <w:r w:rsidRPr="004A6E37">
        <w:rPr>
          <w:rFonts w:ascii="Times New Roman" w:eastAsia="Times New Roman" w:hAnsi="Times New Roman" w:cs="Times New Roman"/>
          <w:sz w:val="24"/>
          <w:szCs w:val="24"/>
        </w:rPr>
        <w:t xml:space="preserve">(ENR) avait évalué « moyennement élevé » le niveau de risque auquel est exposé le secteur des OBNL.   </w:t>
      </w:r>
    </w:p>
    <w:p w14:paraId="4190DAD8" w14:textId="77777777" w:rsidR="00F60C92" w:rsidRPr="004A6E37" w:rsidRDefault="00911B3E" w:rsidP="00187565">
      <w:pPr>
        <w:pStyle w:val="Paragraphedeliste"/>
        <w:spacing w:after="0" w:line="360" w:lineRule="auto"/>
        <w:ind w:left="0"/>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Une étude approfondie du secteur d</w:t>
      </w:r>
      <w:r w:rsidR="00F60C92" w:rsidRPr="004A6E37">
        <w:rPr>
          <w:rFonts w:ascii="Times New Roman" w:eastAsia="Times New Roman" w:hAnsi="Times New Roman" w:cs="Times New Roman"/>
          <w:sz w:val="24"/>
          <w:szCs w:val="24"/>
        </w:rPr>
        <w:t xml:space="preserve">es OBNL au Mali </w:t>
      </w:r>
      <w:r w:rsidRPr="004A6E37">
        <w:rPr>
          <w:rFonts w:ascii="Times New Roman" w:eastAsia="Times New Roman" w:hAnsi="Times New Roman" w:cs="Times New Roman"/>
          <w:sz w:val="24"/>
          <w:szCs w:val="24"/>
        </w:rPr>
        <w:t>les a classé</w:t>
      </w:r>
      <w:r w:rsidR="00F60C92" w:rsidRPr="004A6E37">
        <w:rPr>
          <w:rFonts w:ascii="Times New Roman" w:eastAsia="Times New Roman" w:hAnsi="Times New Roman" w:cs="Times New Roman"/>
          <w:sz w:val="24"/>
          <w:szCs w:val="24"/>
        </w:rPr>
        <w:t xml:space="preserve"> en trois sous-secteurs</w:t>
      </w:r>
      <w:r w:rsidR="00555D7F" w:rsidRPr="004A6E37">
        <w:rPr>
          <w:rFonts w:ascii="Times New Roman" w:eastAsia="Times New Roman" w:hAnsi="Times New Roman" w:cs="Times New Roman"/>
          <w:sz w:val="24"/>
          <w:szCs w:val="24"/>
        </w:rPr>
        <w:t> ;</w:t>
      </w:r>
      <w:r w:rsidR="00F60C92" w:rsidRPr="004A6E37">
        <w:rPr>
          <w:rFonts w:ascii="Times New Roman" w:eastAsia="Times New Roman" w:hAnsi="Times New Roman" w:cs="Times New Roman"/>
          <w:sz w:val="24"/>
          <w:szCs w:val="24"/>
        </w:rPr>
        <w:t xml:space="preserve"> à savoir (i) </w:t>
      </w:r>
      <w:r w:rsidR="00555D7F" w:rsidRPr="004A6E37">
        <w:rPr>
          <w:rFonts w:ascii="Times New Roman" w:eastAsia="Times New Roman" w:hAnsi="Times New Roman" w:cs="Times New Roman"/>
          <w:sz w:val="24"/>
          <w:szCs w:val="24"/>
        </w:rPr>
        <w:t xml:space="preserve">les </w:t>
      </w:r>
      <w:r w:rsidR="00F60C92" w:rsidRPr="004A6E37">
        <w:rPr>
          <w:rFonts w:ascii="Times New Roman" w:eastAsia="Times New Roman" w:hAnsi="Times New Roman" w:cs="Times New Roman"/>
          <w:sz w:val="24"/>
          <w:szCs w:val="24"/>
        </w:rPr>
        <w:t>Service</w:t>
      </w:r>
      <w:r w:rsidR="00555D7F" w:rsidRPr="004A6E37">
        <w:rPr>
          <w:rFonts w:ascii="Times New Roman" w:eastAsia="Times New Roman" w:hAnsi="Times New Roman" w:cs="Times New Roman"/>
          <w:sz w:val="24"/>
          <w:szCs w:val="24"/>
        </w:rPr>
        <w:t>s</w:t>
      </w:r>
      <w:r w:rsidR="00F60C92" w:rsidRPr="004A6E37">
        <w:rPr>
          <w:rFonts w:ascii="Times New Roman" w:eastAsia="Times New Roman" w:hAnsi="Times New Roman" w:cs="Times New Roman"/>
          <w:sz w:val="24"/>
          <w:szCs w:val="24"/>
        </w:rPr>
        <w:t xml:space="preserve"> sociaux de base ;</w:t>
      </w:r>
      <w:r w:rsidR="00541C7D" w:rsidRPr="004A6E37">
        <w:rPr>
          <w:rFonts w:ascii="Times New Roman" w:eastAsia="Times New Roman" w:hAnsi="Times New Roman" w:cs="Times New Roman"/>
          <w:sz w:val="24"/>
          <w:szCs w:val="24"/>
        </w:rPr>
        <w:t xml:space="preserve"> </w:t>
      </w:r>
      <w:r w:rsidR="00F60C92" w:rsidRPr="004A6E37">
        <w:rPr>
          <w:rFonts w:ascii="Times New Roman" w:eastAsia="Times New Roman" w:hAnsi="Times New Roman" w:cs="Times New Roman"/>
          <w:sz w:val="24"/>
          <w:szCs w:val="24"/>
        </w:rPr>
        <w:t xml:space="preserve">(ii) </w:t>
      </w:r>
      <w:r w:rsidR="00555D7F" w:rsidRPr="004A6E37">
        <w:rPr>
          <w:rFonts w:ascii="Times New Roman" w:eastAsia="Times New Roman" w:hAnsi="Times New Roman" w:cs="Times New Roman"/>
          <w:sz w:val="24"/>
          <w:szCs w:val="24"/>
        </w:rPr>
        <w:t xml:space="preserve">les </w:t>
      </w:r>
      <w:r w:rsidR="00F60C92" w:rsidRPr="004A6E37">
        <w:rPr>
          <w:rFonts w:ascii="Times New Roman" w:eastAsia="Times New Roman" w:hAnsi="Times New Roman" w:cs="Times New Roman"/>
          <w:sz w:val="24"/>
          <w:szCs w:val="24"/>
        </w:rPr>
        <w:t>Confessionnelles, œuvres humanitaires et caritatives ; (iii)</w:t>
      </w:r>
      <w:r w:rsidR="00555D7F" w:rsidRPr="004A6E37">
        <w:rPr>
          <w:rFonts w:ascii="Times New Roman" w:eastAsia="Times New Roman" w:hAnsi="Times New Roman" w:cs="Times New Roman"/>
          <w:sz w:val="24"/>
          <w:szCs w:val="24"/>
        </w:rPr>
        <w:t xml:space="preserve"> et le</w:t>
      </w:r>
      <w:r w:rsidR="00801D34" w:rsidRPr="004A6E37">
        <w:rPr>
          <w:rFonts w:ascii="Times New Roman" w:eastAsia="Times New Roman" w:hAnsi="Times New Roman" w:cs="Times New Roman"/>
          <w:sz w:val="24"/>
          <w:szCs w:val="24"/>
        </w:rPr>
        <w:t>s</w:t>
      </w:r>
      <w:r w:rsidR="00555D7F" w:rsidRPr="004A6E37">
        <w:rPr>
          <w:rFonts w:ascii="Times New Roman" w:eastAsia="Times New Roman" w:hAnsi="Times New Roman" w:cs="Times New Roman"/>
          <w:sz w:val="24"/>
          <w:szCs w:val="24"/>
        </w:rPr>
        <w:t xml:space="preserve"> </w:t>
      </w:r>
      <w:r w:rsidR="00F60C92" w:rsidRPr="004A6E37">
        <w:rPr>
          <w:rFonts w:ascii="Times New Roman" w:eastAsia="Times New Roman" w:hAnsi="Times New Roman" w:cs="Times New Roman"/>
          <w:sz w:val="24"/>
          <w:szCs w:val="24"/>
        </w:rPr>
        <w:t xml:space="preserve"> Financement</w:t>
      </w:r>
      <w:r w:rsidR="00801D34" w:rsidRPr="004A6E37">
        <w:rPr>
          <w:rFonts w:ascii="Times New Roman" w:eastAsia="Times New Roman" w:hAnsi="Times New Roman" w:cs="Times New Roman"/>
          <w:sz w:val="24"/>
          <w:szCs w:val="24"/>
        </w:rPr>
        <w:t>s</w:t>
      </w:r>
      <w:r w:rsidR="00F60C92" w:rsidRPr="004A6E37">
        <w:rPr>
          <w:rFonts w:ascii="Times New Roman" w:eastAsia="Times New Roman" w:hAnsi="Times New Roman" w:cs="Times New Roman"/>
          <w:sz w:val="24"/>
          <w:szCs w:val="24"/>
        </w:rPr>
        <w:t>.</w:t>
      </w:r>
    </w:p>
    <w:p w14:paraId="6D2855B3" w14:textId="77777777" w:rsidR="00F60C92" w:rsidRPr="004A6E37" w:rsidRDefault="00F60C92" w:rsidP="00187565">
      <w:pPr>
        <w:spacing w:after="0"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Les résult</w:t>
      </w:r>
      <w:r w:rsidR="00CD7BB4" w:rsidRPr="004A6E37">
        <w:rPr>
          <w:rFonts w:ascii="Times New Roman" w:eastAsia="Times New Roman" w:hAnsi="Times New Roman" w:cs="Times New Roman"/>
          <w:sz w:val="24"/>
          <w:szCs w:val="24"/>
        </w:rPr>
        <w:t>ats des évaluations des menaces et des</w:t>
      </w:r>
      <w:r w:rsidRPr="004A6E37">
        <w:rPr>
          <w:rFonts w:ascii="Times New Roman" w:eastAsia="Times New Roman" w:hAnsi="Times New Roman" w:cs="Times New Roman"/>
          <w:sz w:val="24"/>
          <w:szCs w:val="24"/>
        </w:rPr>
        <w:t xml:space="preserve"> vulnérabilités sont consignés dans le tableau ci-dessous.</w:t>
      </w:r>
    </w:p>
    <w:p w14:paraId="3F6CADF0" w14:textId="77777777" w:rsidR="00F60C92" w:rsidRPr="004A6E37" w:rsidRDefault="00911B3E" w:rsidP="00187565">
      <w:pPr>
        <w:spacing w:after="0" w:line="360" w:lineRule="auto"/>
        <w:jc w:val="center"/>
        <w:rPr>
          <w:rFonts w:ascii="Times New Roman" w:eastAsia="Times New Roman" w:hAnsi="Times New Roman" w:cs="Times New Roman"/>
          <w:b/>
          <w:bCs/>
          <w:i/>
          <w:iCs/>
          <w:sz w:val="24"/>
          <w:szCs w:val="24"/>
        </w:rPr>
      </w:pPr>
      <w:r w:rsidRPr="004A6E37">
        <w:rPr>
          <w:rFonts w:ascii="Times New Roman" w:eastAsia="Times New Roman" w:hAnsi="Times New Roman" w:cs="Times New Roman"/>
          <w:b/>
          <w:bCs/>
          <w:i/>
          <w:iCs/>
          <w:sz w:val="24"/>
          <w:szCs w:val="24"/>
        </w:rPr>
        <w:t>Tableau n</w:t>
      </w:r>
      <w:r w:rsidR="00F60C92" w:rsidRPr="004A6E37">
        <w:rPr>
          <w:rFonts w:ascii="Times New Roman" w:eastAsia="Times New Roman" w:hAnsi="Times New Roman" w:cs="Times New Roman"/>
          <w:b/>
          <w:bCs/>
          <w:i/>
          <w:iCs/>
          <w:sz w:val="24"/>
          <w:szCs w:val="24"/>
        </w:rPr>
        <w:t>°</w:t>
      </w:r>
      <w:r w:rsidRPr="004A6E37">
        <w:rPr>
          <w:rFonts w:ascii="Times New Roman" w:eastAsia="Times New Roman" w:hAnsi="Times New Roman" w:cs="Times New Roman"/>
          <w:b/>
          <w:bCs/>
          <w:i/>
          <w:iCs/>
          <w:sz w:val="24"/>
          <w:szCs w:val="24"/>
        </w:rPr>
        <w:t>.</w:t>
      </w:r>
      <w:r w:rsidR="00F60C92" w:rsidRPr="004A6E37">
        <w:rPr>
          <w:rFonts w:ascii="Times New Roman" w:eastAsia="Times New Roman" w:hAnsi="Times New Roman" w:cs="Times New Roman"/>
          <w:b/>
          <w:bCs/>
          <w:i/>
          <w:iCs/>
          <w:sz w:val="24"/>
          <w:szCs w:val="24"/>
        </w:rPr>
        <w:t> : Evaluation des OBNL</w:t>
      </w:r>
    </w:p>
    <w:tbl>
      <w:tblPr>
        <w:tblStyle w:val="Grilledutableau"/>
        <w:tblW w:w="5000" w:type="pct"/>
        <w:tblLook w:val="04A0" w:firstRow="1" w:lastRow="0" w:firstColumn="1" w:lastColumn="0" w:noHBand="0" w:noVBand="1"/>
      </w:tblPr>
      <w:tblGrid>
        <w:gridCol w:w="2648"/>
        <w:gridCol w:w="2144"/>
        <w:gridCol w:w="2412"/>
        <w:gridCol w:w="2283"/>
      </w:tblGrid>
      <w:tr w:rsidR="00F60C92" w:rsidRPr="004A6E37" w14:paraId="298706DB" w14:textId="77777777" w:rsidTr="00A875CA">
        <w:tc>
          <w:tcPr>
            <w:tcW w:w="139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759980B"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Sous-secteurs</w:t>
            </w:r>
          </w:p>
        </w:tc>
        <w:tc>
          <w:tcPr>
            <w:tcW w:w="113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32ABF41"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 xml:space="preserve">Niveau Menaces </w:t>
            </w:r>
          </w:p>
        </w:tc>
        <w:tc>
          <w:tcPr>
            <w:tcW w:w="127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F7F19D"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Niveau Vulnérabilités</w:t>
            </w:r>
          </w:p>
        </w:tc>
        <w:tc>
          <w:tcPr>
            <w:tcW w:w="120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7FCD513"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 xml:space="preserve">Niveau Risques </w:t>
            </w:r>
          </w:p>
        </w:tc>
      </w:tr>
      <w:tr w:rsidR="00F60C92" w:rsidRPr="004A6E37" w14:paraId="0657D000" w14:textId="77777777" w:rsidTr="00A875CA">
        <w:tc>
          <w:tcPr>
            <w:tcW w:w="1396" w:type="pct"/>
            <w:tcBorders>
              <w:top w:val="single" w:sz="4" w:space="0" w:color="auto"/>
              <w:left w:val="single" w:sz="4" w:space="0" w:color="auto"/>
              <w:bottom w:val="single" w:sz="4" w:space="0" w:color="auto"/>
              <w:right w:val="single" w:sz="4" w:space="0" w:color="auto"/>
            </w:tcBorders>
            <w:hideMark/>
          </w:tcPr>
          <w:p w14:paraId="3C1EC7F1"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Services sociaux de base</w:t>
            </w:r>
          </w:p>
        </w:tc>
        <w:tc>
          <w:tcPr>
            <w:tcW w:w="1130" w:type="pct"/>
            <w:tcBorders>
              <w:top w:val="single" w:sz="4" w:space="0" w:color="auto"/>
              <w:left w:val="single" w:sz="4" w:space="0" w:color="auto"/>
              <w:bottom w:val="single" w:sz="4" w:space="0" w:color="auto"/>
              <w:right w:val="single" w:sz="4" w:space="0" w:color="auto"/>
            </w:tcBorders>
            <w:hideMark/>
          </w:tcPr>
          <w:p w14:paraId="03E92DDD"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Elevé</w:t>
            </w:r>
          </w:p>
        </w:tc>
        <w:tc>
          <w:tcPr>
            <w:tcW w:w="1271" w:type="pct"/>
            <w:tcBorders>
              <w:top w:val="single" w:sz="4" w:space="0" w:color="auto"/>
              <w:left w:val="single" w:sz="4" w:space="0" w:color="auto"/>
              <w:bottom w:val="single" w:sz="4" w:space="0" w:color="auto"/>
              <w:right w:val="single" w:sz="4" w:space="0" w:color="auto"/>
            </w:tcBorders>
            <w:hideMark/>
          </w:tcPr>
          <w:p w14:paraId="23912B70"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Elevé</w:t>
            </w:r>
          </w:p>
        </w:tc>
        <w:tc>
          <w:tcPr>
            <w:tcW w:w="1203" w:type="pct"/>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33C2B5A"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Elevé</w:t>
            </w:r>
          </w:p>
        </w:tc>
      </w:tr>
      <w:tr w:rsidR="00F60C92" w:rsidRPr="004A6E37" w14:paraId="5117F0B6" w14:textId="77777777" w:rsidTr="00A875CA">
        <w:tc>
          <w:tcPr>
            <w:tcW w:w="1396" w:type="pct"/>
            <w:tcBorders>
              <w:top w:val="single" w:sz="4" w:space="0" w:color="auto"/>
              <w:left w:val="single" w:sz="4" w:space="0" w:color="auto"/>
              <w:bottom w:val="single" w:sz="4" w:space="0" w:color="auto"/>
              <w:right w:val="single" w:sz="4" w:space="0" w:color="auto"/>
            </w:tcBorders>
            <w:hideMark/>
          </w:tcPr>
          <w:p w14:paraId="71D33B3B"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 xml:space="preserve">Confessionnelles, œuvres humanitaires et caritatives </w:t>
            </w:r>
          </w:p>
        </w:tc>
        <w:tc>
          <w:tcPr>
            <w:tcW w:w="1130" w:type="pct"/>
            <w:tcBorders>
              <w:top w:val="single" w:sz="4" w:space="0" w:color="auto"/>
              <w:left w:val="single" w:sz="4" w:space="0" w:color="auto"/>
              <w:bottom w:val="single" w:sz="4" w:space="0" w:color="auto"/>
              <w:right w:val="single" w:sz="4" w:space="0" w:color="auto"/>
            </w:tcBorders>
            <w:hideMark/>
          </w:tcPr>
          <w:p w14:paraId="4F943F38"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Moyennement Elevé</w:t>
            </w:r>
          </w:p>
        </w:tc>
        <w:tc>
          <w:tcPr>
            <w:tcW w:w="1271" w:type="pct"/>
            <w:tcBorders>
              <w:top w:val="single" w:sz="4" w:space="0" w:color="auto"/>
              <w:left w:val="single" w:sz="4" w:space="0" w:color="auto"/>
              <w:bottom w:val="single" w:sz="4" w:space="0" w:color="auto"/>
              <w:right w:val="single" w:sz="4" w:space="0" w:color="auto"/>
            </w:tcBorders>
            <w:hideMark/>
          </w:tcPr>
          <w:p w14:paraId="054A19B2"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Elevé</w:t>
            </w:r>
          </w:p>
        </w:tc>
        <w:tc>
          <w:tcPr>
            <w:tcW w:w="1203" w:type="pct"/>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6C866AF"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Elevé</w:t>
            </w:r>
          </w:p>
        </w:tc>
      </w:tr>
      <w:tr w:rsidR="00F60C92" w:rsidRPr="004A6E37" w14:paraId="75A2DAF3" w14:textId="77777777" w:rsidTr="00A875CA">
        <w:tc>
          <w:tcPr>
            <w:tcW w:w="1396" w:type="pct"/>
            <w:tcBorders>
              <w:top w:val="single" w:sz="4" w:space="0" w:color="auto"/>
              <w:left w:val="single" w:sz="4" w:space="0" w:color="auto"/>
              <w:bottom w:val="single" w:sz="4" w:space="0" w:color="auto"/>
              <w:right w:val="single" w:sz="4" w:space="0" w:color="auto"/>
            </w:tcBorders>
            <w:hideMark/>
          </w:tcPr>
          <w:p w14:paraId="1E7A453E"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Financement</w:t>
            </w:r>
          </w:p>
        </w:tc>
        <w:tc>
          <w:tcPr>
            <w:tcW w:w="1130" w:type="pct"/>
            <w:tcBorders>
              <w:top w:val="single" w:sz="4" w:space="0" w:color="auto"/>
              <w:left w:val="single" w:sz="4" w:space="0" w:color="auto"/>
              <w:bottom w:val="single" w:sz="4" w:space="0" w:color="auto"/>
              <w:right w:val="single" w:sz="4" w:space="0" w:color="auto"/>
            </w:tcBorders>
            <w:hideMark/>
          </w:tcPr>
          <w:p w14:paraId="53BF2E2B"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Moyen</w:t>
            </w:r>
          </w:p>
        </w:tc>
        <w:tc>
          <w:tcPr>
            <w:tcW w:w="1271" w:type="pct"/>
            <w:tcBorders>
              <w:top w:val="single" w:sz="4" w:space="0" w:color="auto"/>
              <w:left w:val="single" w:sz="4" w:space="0" w:color="auto"/>
              <w:bottom w:val="single" w:sz="4" w:space="0" w:color="auto"/>
              <w:right w:val="single" w:sz="4" w:space="0" w:color="auto"/>
            </w:tcBorders>
            <w:hideMark/>
          </w:tcPr>
          <w:p w14:paraId="685B0EDF" w14:textId="77777777" w:rsidR="00F60C92" w:rsidRPr="004A6E37" w:rsidRDefault="00F60C92" w:rsidP="00187565">
            <w:pPr>
              <w:spacing w:after="0" w:line="360" w:lineRule="auto"/>
              <w:jc w:val="both"/>
              <w:rPr>
                <w:rFonts w:ascii="Times New Roman" w:eastAsiaTheme="minorEastAsia" w:hAnsi="Times New Roman" w:cs="Times New Roman"/>
                <w:bCs/>
                <w:szCs w:val="24"/>
                <w:lang w:eastAsia="fr-FR"/>
              </w:rPr>
            </w:pPr>
            <w:r w:rsidRPr="004A6E37">
              <w:rPr>
                <w:rFonts w:ascii="Times New Roman" w:hAnsi="Times New Roman" w:cs="Times New Roman"/>
                <w:bCs/>
                <w:szCs w:val="24"/>
              </w:rPr>
              <w:t>Moyennement Elevé</w:t>
            </w:r>
          </w:p>
        </w:tc>
        <w:tc>
          <w:tcPr>
            <w:tcW w:w="1203"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8566665" w14:textId="77777777" w:rsidR="00F60C92" w:rsidRPr="004A6E37" w:rsidRDefault="00F60C92"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Moyennement Elevé</w:t>
            </w:r>
          </w:p>
        </w:tc>
      </w:tr>
    </w:tbl>
    <w:p w14:paraId="03B68734" w14:textId="77777777" w:rsidR="00F60C92" w:rsidRPr="004A6E37" w:rsidRDefault="00911B3E" w:rsidP="00187565">
      <w:pPr>
        <w:spacing w:after="0" w:line="360" w:lineRule="auto"/>
        <w:jc w:val="both"/>
        <w:rPr>
          <w:rFonts w:ascii="Times New Roman" w:eastAsiaTheme="minorEastAsia" w:hAnsi="Times New Roman" w:cs="Times New Roman"/>
          <w:b/>
          <w:szCs w:val="24"/>
          <w:lang w:eastAsia="fr-FR"/>
        </w:rPr>
      </w:pPr>
      <w:r w:rsidRPr="004A6E37">
        <w:rPr>
          <w:rFonts w:ascii="Times New Roman" w:eastAsiaTheme="minorEastAsia" w:hAnsi="Times New Roman" w:cs="Times New Roman"/>
          <w:b/>
          <w:szCs w:val="24"/>
          <w:lang w:eastAsia="fr-FR"/>
        </w:rPr>
        <w:t xml:space="preserve">Source : </w:t>
      </w:r>
      <w:r w:rsidRPr="004A6E37">
        <w:rPr>
          <w:rFonts w:ascii="Times New Roman" w:eastAsiaTheme="minorEastAsia" w:hAnsi="Times New Roman" w:cs="Times New Roman"/>
          <w:szCs w:val="24"/>
          <w:lang w:eastAsia="fr-FR"/>
        </w:rPr>
        <w:t>Rapport de l’étude relative à l’évaluation complète du secteur des OBNL pour le compte de la CENTIF</w:t>
      </w:r>
    </w:p>
    <w:p w14:paraId="0C6D912A" w14:textId="77777777" w:rsidR="00F60C92" w:rsidRPr="004A6E37" w:rsidRDefault="0092293D" w:rsidP="00187565">
      <w:pPr>
        <w:spacing w:after="0" w:line="360" w:lineRule="auto"/>
        <w:jc w:val="both"/>
        <w:rPr>
          <w:rFonts w:ascii="Times New Roman" w:hAnsi="Times New Roman" w:cs="Times New Roman"/>
          <w:b/>
          <w:sz w:val="24"/>
          <w:szCs w:val="24"/>
        </w:rPr>
      </w:pPr>
      <w:r w:rsidRPr="004A6E37">
        <w:rPr>
          <w:rFonts w:ascii="Times New Roman" w:hAnsi="Times New Roman" w:cs="Times New Roman"/>
          <w:sz w:val="24"/>
          <w:szCs w:val="24"/>
        </w:rPr>
        <w:lastRenderedPageBreak/>
        <w:t>Le</w:t>
      </w:r>
      <w:r w:rsidR="00F60C92" w:rsidRPr="004A6E37">
        <w:rPr>
          <w:rFonts w:ascii="Times New Roman" w:hAnsi="Times New Roman" w:cs="Times New Roman"/>
          <w:sz w:val="24"/>
          <w:szCs w:val="24"/>
        </w:rPr>
        <w:t xml:space="preserve"> tableau </w:t>
      </w:r>
      <w:r w:rsidRPr="004A6E37">
        <w:rPr>
          <w:rFonts w:ascii="Times New Roman" w:hAnsi="Times New Roman" w:cs="Times New Roman"/>
          <w:sz w:val="24"/>
          <w:szCs w:val="24"/>
        </w:rPr>
        <w:t>ci-dessus indique</w:t>
      </w:r>
      <w:r w:rsidR="00F60C92" w:rsidRPr="004A6E37">
        <w:rPr>
          <w:rFonts w:ascii="Times New Roman" w:hAnsi="Times New Roman" w:cs="Times New Roman"/>
          <w:sz w:val="24"/>
          <w:szCs w:val="24"/>
        </w:rPr>
        <w:t xml:space="preserve"> que les OBNL évoluant dans les services sociaux de base sont les plus exposés aux risques BC/FT, suivi des OBNL confessionnels, œuvres humanitaires et caritatives. Les OBNL dont les activités consistent à financer d’autres OBNL sont les moins exposés</w:t>
      </w:r>
      <w:r w:rsidR="00F60C92" w:rsidRPr="004A6E37">
        <w:rPr>
          <w:rFonts w:ascii="Times New Roman" w:hAnsi="Times New Roman" w:cs="Times New Roman"/>
          <w:b/>
          <w:sz w:val="24"/>
          <w:szCs w:val="24"/>
        </w:rPr>
        <w:t>.</w:t>
      </w:r>
    </w:p>
    <w:p w14:paraId="62669F5E" w14:textId="77777777" w:rsidR="00F60C92" w:rsidRPr="004A6E37" w:rsidRDefault="00F60C92" w:rsidP="00187565">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Les OBNL à risque élevé sont repartis dans le tableau ci-dessous selon les domaines d’intervention et le statut.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5899"/>
        <w:gridCol w:w="1364"/>
        <w:gridCol w:w="1061"/>
      </w:tblGrid>
      <w:tr w:rsidR="00F60C92" w:rsidRPr="004A6E37" w14:paraId="7514574C" w14:textId="77777777" w:rsidTr="00A875CA">
        <w:trPr>
          <w:trHeight w:val="603"/>
        </w:trPr>
        <w:tc>
          <w:tcPr>
            <w:tcW w:w="613" w:type="pct"/>
            <w:vMerge w:val="restart"/>
            <w:tcBorders>
              <w:top w:val="single" w:sz="4" w:space="0" w:color="000000"/>
              <w:left w:val="single" w:sz="4" w:space="0" w:color="000000"/>
              <w:bottom w:val="single" w:sz="4" w:space="0" w:color="000000"/>
              <w:right w:val="single" w:sz="4" w:space="0" w:color="000000"/>
            </w:tcBorders>
            <w:hideMark/>
          </w:tcPr>
          <w:p w14:paraId="15FCD24F"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OBNL</w:t>
            </w:r>
          </w:p>
        </w:tc>
        <w:tc>
          <w:tcPr>
            <w:tcW w:w="3109" w:type="pct"/>
            <w:vMerge w:val="restart"/>
            <w:tcBorders>
              <w:top w:val="single" w:sz="4" w:space="0" w:color="000000"/>
              <w:left w:val="single" w:sz="4" w:space="0" w:color="000000"/>
              <w:bottom w:val="single" w:sz="4" w:space="0" w:color="000000"/>
              <w:right w:val="single" w:sz="4" w:space="0" w:color="000000"/>
            </w:tcBorders>
            <w:hideMark/>
          </w:tcPr>
          <w:p w14:paraId="1F1CEF87"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OBNL à risque élevé (nombre total : 1 028)</w:t>
            </w:r>
          </w:p>
        </w:tc>
        <w:tc>
          <w:tcPr>
            <w:tcW w:w="1278" w:type="pct"/>
            <w:gridSpan w:val="2"/>
            <w:tcBorders>
              <w:top w:val="single" w:sz="4" w:space="0" w:color="000000"/>
              <w:left w:val="single" w:sz="4" w:space="0" w:color="000000"/>
              <w:bottom w:val="single" w:sz="4" w:space="0" w:color="000000"/>
              <w:right w:val="single" w:sz="4" w:space="0" w:color="000000"/>
            </w:tcBorders>
            <w:hideMark/>
          </w:tcPr>
          <w:p w14:paraId="341DC4D1"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Effectif</w:t>
            </w:r>
          </w:p>
        </w:tc>
      </w:tr>
      <w:tr w:rsidR="00F60C92" w:rsidRPr="004A6E37" w14:paraId="20ED553C" w14:textId="77777777" w:rsidTr="00A875CA">
        <w:trPr>
          <w:trHeight w:val="603"/>
        </w:trPr>
        <w:tc>
          <w:tcPr>
            <w:tcW w:w="613" w:type="pct"/>
            <w:vMerge/>
            <w:tcBorders>
              <w:top w:val="single" w:sz="4" w:space="0" w:color="000000"/>
              <w:left w:val="single" w:sz="4" w:space="0" w:color="000000"/>
              <w:bottom w:val="single" w:sz="4" w:space="0" w:color="000000"/>
              <w:right w:val="single" w:sz="4" w:space="0" w:color="000000"/>
            </w:tcBorders>
            <w:vAlign w:val="center"/>
            <w:hideMark/>
          </w:tcPr>
          <w:p w14:paraId="2865E27E" w14:textId="77777777" w:rsidR="00F60C92" w:rsidRPr="004A6E37" w:rsidRDefault="00F60C92" w:rsidP="00187565">
            <w:pPr>
              <w:spacing w:after="0" w:line="360" w:lineRule="auto"/>
              <w:rPr>
                <w:rFonts w:ascii="Times New Roman" w:eastAsiaTheme="minorEastAsia" w:hAnsi="Times New Roman" w:cs="Times New Roman"/>
                <w:b/>
                <w:szCs w:val="24"/>
                <w:lang w:eastAsia="fr-FR"/>
              </w:rPr>
            </w:pPr>
          </w:p>
        </w:tc>
        <w:tc>
          <w:tcPr>
            <w:tcW w:w="3109" w:type="pct"/>
            <w:vMerge/>
            <w:tcBorders>
              <w:top w:val="single" w:sz="4" w:space="0" w:color="000000"/>
              <w:left w:val="single" w:sz="4" w:space="0" w:color="000000"/>
              <w:bottom w:val="single" w:sz="4" w:space="0" w:color="000000"/>
              <w:right w:val="single" w:sz="4" w:space="0" w:color="000000"/>
            </w:tcBorders>
            <w:vAlign w:val="center"/>
            <w:hideMark/>
          </w:tcPr>
          <w:p w14:paraId="67AEB431" w14:textId="77777777" w:rsidR="00F60C92" w:rsidRPr="004A6E37" w:rsidRDefault="00F60C92" w:rsidP="00187565">
            <w:pPr>
              <w:spacing w:after="0" w:line="360" w:lineRule="auto"/>
              <w:rPr>
                <w:rFonts w:ascii="Times New Roman" w:eastAsiaTheme="minorEastAsia" w:hAnsi="Times New Roman" w:cs="Times New Roman"/>
                <w:b/>
                <w:szCs w:val="24"/>
                <w:lang w:eastAsia="fr-FR"/>
              </w:rPr>
            </w:pPr>
          </w:p>
        </w:tc>
        <w:tc>
          <w:tcPr>
            <w:tcW w:w="719" w:type="pct"/>
            <w:tcBorders>
              <w:top w:val="single" w:sz="4" w:space="0" w:color="000000"/>
              <w:left w:val="single" w:sz="4" w:space="0" w:color="000000"/>
              <w:bottom w:val="single" w:sz="4" w:space="0" w:color="000000"/>
              <w:right w:val="single" w:sz="4" w:space="0" w:color="000000"/>
            </w:tcBorders>
            <w:hideMark/>
          </w:tcPr>
          <w:p w14:paraId="3443B363"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Nombre</w:t>
            </w:r>
          </w:p>
        </w:tc>
        <w:tc>
          <w:tcPr>
            <w:tcW w:w="559" w:type="pct"/>
            <w:tcBorders>
              <w:top w:val="single" w:sz="4" w:space="0" w:color="000000"/>
              <w:left w:val="single" w:sz="4" w:space="0" w:color="000000"/>
              <w:bottom w:val="single" w:sz="4" w:space="0" w:color="000000"/>
              <w:right w:val="single" w:sz="4" w:space="0" w:color="000000"/>
            </w:tcBorders>
            <w:hideMark/>
          </w:tcPr>
          <w:p w14:paraId="2445B2E9"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w:t>
            </w:r>
          </w:p>
        </w:tc>
      </w:tr>
      <w:tr w:rsidR="00F60C92" w:rsidRPr="004A6E37" w14:paraId="7CE2B54D" w14:textId="77777777" w:rsidTr="00A875CA">
        <w:trPr>
          <w:trHeight w:val="269"/>
        </w:trPr>
        <w:tc>
          <w:tcPr>
            <w:tcW w:w="613" w:type="pct"/>
            <w:vMerge w:val="restart"/>
            <w:tcBorders>
              <w:top w:val="single" w:sz="4" w:space="0" w:color="000000"/>
              <w:left w:val="single" w:sz="4" w:space="0" w:color="000000"/>
              <w:bottom w:val="single" w:sz="4" w:space="0" w:color="000000"/>
              <w:right w:val="single" w:sz="4" w:space="0" w:color="000000"/>
            </w:tcBorders>
          </w:tcPr>
          <w:p w14:paraId="4BEBA84D" w14:textId="77777777" w:rsidR="00F60C92" w:rsidRPr="004A6E37" w:rsidRDefault="00F60C92" w:rsidP="00187565">
            <w:pPr>
              <w:spacing w:line="360" w:lineRule="auto"/>
              <w:jc w:val="both"/>
              <w:rPr>
                <w:rFonts w:ascii="Times New Roman" w:eastAsiaTheme="minorEastAsia" w:hAnsi="Times New Roman" w:cs="Times New Roman"/>
                <w:b/>
                <w:szCs w:val="24"/>
                <w:lang w:eastAsia="fr-FR"/>
              </w:rPr>
            </w:pPr>
          </w:p>
          <w:p w14:paraId="2AA47315" w14:textId="77777777" w:rsidR="00F60C92" w:rsidRPr="004A6E37" w:rsidRDefault="00F60C92" w:rsidP="00187565">
            <w:pPr>
              <w:spacing w:after="20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Statut</w:t>
            </w:r>
          </w:p>
        </w:tc>
        <w:tc>
          <w:tcPr>
            <w:tcW w:w="3109" w:type="pct"/>
            <w:tcBorders>
              <w:top w:val="single" w:sz="4" w:space="0" w:color="000000"/>
              <w:left w:val="single" w:sz="4" w:space="0" w:color="000000"/>
              <w:bottom w:val="single" w:sz="4" w:space="0" w:color="000000"/>
              <w:right w:val="single" w:sz="4" w:space="0" w:color="000000"/>
            </w:tcBorders>
            <w:hideMark/>
          </w:tcPr>
          <w:p w14:paraId="01DFAFB2" w14:textId="77777777" w:rsidR="00F60C92" w:rsidRPr="004A6E37" w:rsidRDefault="00F60C92" w:rsidP="00187565">
            <w:pPr>
              <w:spacing w:after="200" w:line="360" w:lineRule="auto"/>
              <w:jc w:val="both"/>
              <w:rPr>
                <w:rFonts w:ascii="Times New Roman" w:eastAsiaTheme="minorEastAsia" w:hAnsi="Times New Roman" w:cs="Times New Roman"/>
                <w:szCs w:val="24"/>
                <w:lang w:eastAsia="fr-FR"/>
              </w:rPr>
            </w:pPr>
            <w:r w:rsidRPr="004A6E37">
              <w:rPr>
                <w:rFonts w:ascii="Times New Roman" w:hAnsi="Times New Roman" w:cs="Times New Roman"/>
                <w:szCs w:val="24"/>
              </w:rPr>
              <w:t>National</w:t>
            </w:r>
          </w:p>
        </w:tc>
        <w:tc>
          <w:tcPr>
            <w:tcW w:w="719" w:type="pct"/>
            <w:tcBorders>
              <w:top w:val="single" w:sz="4" w:space="0" w:color="000000"/>
              <w:left w:val="single" w:sz="4" w:space="0" w:color="000000"/>
              <w:bottom w:val="single" w:sz="4" w:space="0" w:color="000000"/>
              <w:right w:val="single" w:sz="4" w:space="0" w:color="000000"/>
            </w:tcBorders>
            <w:hideMark/>
          </w:tcPr>
          <w:p w14:paraId="7D63E294"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919</w:t>
            </w:r>
          </w:p>
        </w:tc>
        <w:tc>
          <w:tcPr>
            <w:tcW w:w="559" w:type="pct"/>
            <w:tcBorders>
              <w:top w:val="single" w:sz="4" w:space="0" w:color="000000"/>
              <w:left w:val="single" w:sz="4" w:space="0" w:color="000000"/>
              <w:bottom w:val="single" w:sz="4" w:space="0" w:color="000000"/>
              <w:right w:val="single" w:sz="4" w:space="0" w:color="000000"/>
            </w:tcBorders>
            <w:hideMark/>
          </w:tcPr>
          <w:p w14:paraId="7BF83A54"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89%</w:t>
            </w:r>
          </w:p>
        </w:tc>
      </w:tr>
      <w:tr w:rsidR="00F60C92" w:rsidRPr="004A6E37" w14:paraId="61325733" w14:textId="77777777" w:rsidTr="00A875CA">
        <w:trPr>
          <w:trHeight w:val="603"/>
        </w:trPr>
        <w:tc>
          <w:tcPr>
            <w:tcW w:w="613" w:type="pct"/>
            <w:vMerge/>
            <w:tcBorders>
              <w:top w:val="single" w:sz="4" w:space="0" w:color="000000"/>
              <w:left w:val="single" w:sz="4" w:space="0" w:color="000000"/>
              <w:bottom w:val="single" w:sz="4" w:space="0" w:color="000000"/>
              <w:right w:val="single" w:sz="4" w:space="0" w:color="000000"/>
            </w:tcBorders>
            <w:vAlign w:val="center"/>
            <w:hideMark/>
          </w:tcPr>
          <w:p w14:paraId="205256DE" w14:textId="77777777" w:rsidR="00F60C92" w:rsidRPr="004A6E37" w:rsidRDefault="00F60C92" w:rsidP="00187565">
            <w:pPr>
              <w:spacing w:after="0" w:line="360" w:lineRule="auto"/>
              <w:rPr>
                <w:rFonts w:ascii="Times New Roman" w:eastAsiaTheme="minorEastAsia" w:hAnsi="Times New Roman" w:cs="Times New Roman"/>
                <w:b/>
                <w:szCs w:val="24"/>
                <w:lang w:eastAsia="fr-FR"/>
              </w:rPr>
            </w:pPr>
          </w:p>
        </w:tc>
        <w:tc>
          <w:tcPr>
            <w:tcW w:w="3109" w:type="pct"/>
            <w:tcBorders>
              <w:top w:val="single" w:sz="4" w:space="0" w:color="000000"/>
              <w:left w:val="single" w:sz="4" w:space="0" w:color="000000"/>
              <w:bottom w:val="single" w:sz="4" w:space="0" w:color="000000"/>
              <w:right w:val="single" w:sz="4" w:space="0" w:color="000000"/>
            </w:tcBorders>
            <w:hideMark/>
          </w:tcPr>
          <w:p w14:paraId="11DB3AEC" w14:textId="77777777" w:rsidR="00F60C92" w:rsidRPr="004A6E37" w:rsidRDefault="00F60C92" w:rsidP="00187565">
            <w:pPr>
              <w:spacing w:after="200" w:line="360" w:lineRule="auto"/>
              <w:jc w:val="both"/>
              <w:rPr>
                <w:rFonts w:ascii="Times New Roman" w:eastAsiaTheme="minorEastAsia" w:hAnsi="Times New Roman" w:cs="Times New Roman"/>
                <w:szCs w:val="24"/>
                <w:lang w:eastAsia="fr-FR"/>
              </w:rPr>
            </w:pPr>
            <w:r w:rsidRPr="004A6E37">
              <w:rPr>
                <w:rFonts w:ascii="Times New Roman" w:hAnsi="Times New Roman" w:cs="Times New Roman"/>
                <w:szCs w:val="24"/>
              </w:rPr>
              <w:t>Etranger</w:t>
            </w:r>
          </w:p>
        </w:tc>
        <w:tc>
          <w:tcPr>
            <w:tcW w:w="719" w:type="pct"/>
            <w:tcBorders>
              <w:top w:val="single" w:sz="4" w:space="0" w:color="000000"/>
              <w:left w:val="single" w:sz="4" w:space="0" w:color="000000"/>
              <w:bottom w:val="single" w:sz="4" w:space="0" w:color="000000"/>
              <w:right w:val="single" w:sz="4" w:space="0" w:color="000000"/>
            </w:tcBorders>
            <w:hideMark/>
          </w:tcPr>
          <w:p w14:paraId="22703306"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109</w:t>
            </w:r>
          </w:p>
        </w:tc>
        <w:tc>
          <w:tcPr>
            <w:tcW w:w="559" w:type="pct"/>
            <w:tcBorders>
              <w:top w:val="single" w:sz="4" w:space="0" w:color="000000"/>
              <w:left w:val="single" w:sz="4" w:space="0" w:color="000000"/>
              <w:bottom w:val="single" w:sz="4" w:space="0" w:color="000000"/>
              <w:right w:val="single" w:sz="4" w:space="0" w:color="000000"/>
            </w:tcBorders>
            <w:hideMark/>
          </w:tcPr>
          <w:p w14:paraId="45622500"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11%</w:t>
            </w:r>
          </w:p>
        </w:tc>
      </w:tr>
      <w:tr w:rsidR="00F60C92" w:rsidRPr="004A6E37" w14:paraId="66EC419C" w14:textId="77777777" w:rsidTr="00A875CA">
        <w:trPr>
          <w:trHeight w:val="377"/>
        </w:trPr>
        <w:tc>
          <w:tcPr>
            <w:tcW w:w="613" w:type="pct"/>
            <w:tcBorders>
              <w:top w:val="single" w:sz="4" w:space="0" w:color="000000"/>
              <w:left w:val="single" w:sz="4" w:space="0" w:color="000000"/>
              <w:bottom w:val="single" w:sz="4" w:space="0" w:color="000000"/>
              <w:right w:val="single" w:sz="4" w:space="0" w:color="000000"/>
            </w:tcBorders>
            <w:shd w:val="clear" w:color="auto" w:fill="E7E6E6"/>
            <w:hideMark/>
          </w:tcPr>
          <w:p w14:paraId="63483670" w14:textId="77777777" w:rsidR="00F60C92" w:rsidRPr="004A6E37" w:rsidRDefault="00F60C92" w:rsidP="00187565">
            <w:pPr>
              <w:spacing w:after="20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Total</w:t>
            </w:r>
          </w:p>
        </w:tc>
        <w:tc>
          <w:tcPr>
            <w:tcW w:w="3109" w:type="pct"/>
            <w:tcBorders>
              <w:top w:val="single" w:sz="4" w:space="0" w:color="000000"/>
              <w:left w:val="single" w:sz="4" w:space="0" w:color="000000"/>
              <w:bottom w:val="single" w:sz="4" w:space="0" w:color="000000"/>
              <w:right w:val="single" w:sz="4" w:space="0" w:color="000000"/>
            </w:tcBorders>
            <w:shd w:val="clear" w:color="auto" w:fill="E7E6E6"/>
          </w:tcPr>
          <w:p w14:paraId="645D4AA4" w14:textId="77777777" w:rsidR="00F60C92" w:rsidRPr="004A6E37" w:rsidRDefault="00F60C92" w:rsidP="00187565">
            <w:pPr>
              <w:spacing w:after="200" w:line="360" w:lineRule="auto"/>
              <w:jc w:val="both"/>
              <w:rPr>
                <w:rFonts w:ascii="Times New Roman" w:eastAsiaTheme="minorEastAsia" w:hAnsi="Times New Roman" w:cs="Times New Roman"/>
                <w:b/>
                <w:szCs w:val="24"/>
                <w:lang w:eastAsia="fr-FR"/>
              </w:rPr>
            </w:pPr>
          </w:p>
        </w:tc>
        <w:tc>
          <w:tcPr>
            <w:tcW w:w="719" w:type="pct"/>
            <w:tcBorders>
              <w:top w:val="single" w:sz="4" w:space="0" w:color="000000"/>
              <w:left w:val="single" w:sz="4" w:space="0" w:color="000000"/>
              <w:bottom w:val="single" w:sz="4" w:space="0" w:color="000000"/>
              <w:right w:val="single" w:sz="4" w:space="0" w:color="000000"/>
            </w:tcBorders>
            <w:shd w:val="clear" w:color="auto" w:fill="E7E6E6"/>
            <w:hideMark/>
          </w:tcPr>
          <w:p w14:paraId="6A055B41"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 xml:space="preserve"> 1 028</w:t>
            </w:r>
          </w:p>
        </w:tc>
        <w:tc>
          <w:tcPr>
            <w:tcW w:w="559" w:type="pct"/>
            <w:tcBorders>
              <w:top w:val="single" w:sz="4" w:space="0" w:color="000000"/>
              <w:left w:val="single" w:sz="4" w:space="0" w:color="000000"/>
              <w:bottom w:val="single" w:sz="4" w:space="0" w:color="000000"/>
              <w:right w:val="single" w:sz="4" w:space="0" w:color="000000"/>
            </w:tcBorders>
            <w:shd w:val="clear" w:color="auto" w:fill="E7E6E6"/>
            <w:hideMark/>
          </w:tcPr>
          <w:p w14:paraId="6A8AB91B"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100%</w:t>
            </w:r>
          </w:p>
        </w:tc>
      </w:tr>
    </w:tbl>
    <w:p w14:paraId="109DE0BB" w14:textId="77777777" w:rsidR="00C60AC0" w:rsidRPr="004A6E37" w:rsidRDefault="00F60C92" w:rsidP="00187565">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OBNL à risque faible sont de sept cent soixante-deux (762), soit 43% du nombre total de 1 790 d’OBNL au Mali. </w:t>
      </w:r>
    </w:p>
    <w:p w14:paraId="13C31E5C" w14:textId="77777777" w:rsidR="00F60C92" w:rsidRPr="004A6E37" w:rsidRDefault="00F60C92" w:rsidP="00187565">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 tableau ci-dessous donne leur répartition selon les domaines d’intervention et le statut.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2969"/>
        <w:gridCol w:w="2228"/>
        <w:gridCol w:w="2514"/>
      </w:tblGrid>
      <w:tr w:rsidR="00F60C92" w:rsidRPr="004A6E37" w14:paraId="30ECD2C7" w14:textId="77777777" w:rsidTr="00A875CA">
        <w:tc>
          <w:tcPr>
            <w:tcW w:w="936" w:type="pct"/>
            <w:vMerge w:val="restart"/>
            <w:tcBorders>
              <w:top w:val="single" w:sz="4" w:space="0" w:color="000000"/>
              <w:left w:val="single" w:sz="4" w:space="0" w:color="000000"/>
              <w:bottom w:val="single" w:sz="4" w:space="0" w:color="000000"/>
              <w:right w:val="single" w:sz="4" w:space="0" w:color="000000"/>
            </w:tcBorders>
            <w:hideMark/>
          </w:tcPr>
          <w:p w14:paraId="3F705A48"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OBNL</w:t>
            </w:r>
          </w:p>
        </w:tc>
        <w:tc>
          <w:tcPr>
            <w:tcW w:w="1565" w:type="pct"/>
            <w:vMerge w:val="restart"/>
            <w:tcBorders>
              <w:top w:val="single" w:sz="4" w:space="0" w:color="000000"/>
              <w:left w:val="single" w:sz="4" w:space="0" w:color="000000"/>
              <w:bottom w:val="single" w:sz="4" w:space="0" w:color="000000"/>
              <w:right w:val="single" w:sz="4" w:space="0" w:color="000000"/>
            </w:tcBorders>
            <w:hideMark/>
          </w:tcPr>
          <w:p w14:paraId="54445219"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OBNL à risque faible (nombre total : 762)</w:t>
            </w:r>
          </w:p>
        </w:tc>
        <w:tc>
          <w:tcPr>
            <w:tcW w:w="2499" w:type="pct"/>
            <w:gridSpan w:val="2"/>
            <w:tcBorders>
              <w:top w:val="single" w:sz="4" w:space="0" w:color="000000"/>
              <w:left w:val="single" w:sz="4" w:space="0" w:color="000000"/>
              <w:bottom w:val="single" w:sz="4" w:space="0" w:color="000000"/>
              <w:right w:val="single" w:sz="4" w:space="0" w:color="000000"/>
            </w:tcBorders>
            <w:hideMark/>
          </w:tcPr>
          <w:p w14:paraId="5C0E7008"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Effectif</w:t>
            </w:r>
          </w:p>
        </w:tc>
      </w:tr>
      <w:tr w:rsidR="00F60C92" w:rsidRPr="004A6E37" w14:paraId="7165CC52" w14:textId="77777777" w:rsidTr="00A875CA">
        <w:tc>
          <w:tcPr>
            <w:tcW w:w="936" w:type="pct"/>
            <w:vMerge/>
            <w:tcBorders>
              <w:top w:val="single" w:sz="4" w:space="0" w:color="000000"/>
              <w:left w:val="single" w:sz="4" w:space="0" w:color="000000"/>
              <w:bottom w:val="single" w:sz="4" w:space="0" w:color="000000"/>
              <w:right w:val="single" w:sz="4" w:space="0" w:color="000000"/>
            </w:tcBorders>
            <w:vAlign w:val="center"/>
            <w:hideMark/>
          </w:tcPr>
          <w:p w14:paraId="085ED70A" w14:textId="77777777" w:rsidR="00F60C92" w:rsidRPr="004A6E37" w:rsidRDefault="00F60C92" w:rsidP="00187565">
            <w:pPr>
              <w:spacing w:after="0" w:line="360" w:lineRule="auto"/>
              <w:rPr>
                <w:rFonts w:ascii="Times New Roman" w:eastAsiaTheme="minorEastAsia" w:hAnsi="Times New Roman" w:cs="Times New Roman"/>
                <w:b/>
                <w:szCs w:val="24"/>
                <w:lang w:eastAsia="fr-FR"/>
              </w:rPr>
            </w:pPr>
          </w:p>
        </w:tc>
        <w:tc>
          <w:tcPr>
            <w:tcW w:w="1565" w:type="pct"/>
            <w:vMerge/>
            <w:tcBorders>
              <w:top w:val="single" w:sz="4" w:space="0" w:color="000000"/>
              <w:left w:val="single" w:sz="4" w:space="0" w:color="000000"/>
              <w:bottom w:val="single" w:sz="4" w:space="0" w:color="000000"/>
              <w:right w:val="single" w:sz="4" w:space="0" w:color="000000"/>
            </w:tcBorders>
            <w:vAlign w:val="center"/>
            <w:hideMark/>
          </w:tcPr>
          <w:p w14:paraId="396C5DB2" w14:textId="77777777" w:rsidR="00F60C92" w:rsidRPr="004A6E37" w:rsidRDefault="00F60C92" w:rsidP="00187565">
            <w:pPr>
              <w:spacing w:after="0" w:line="360" w:lineRule="auto"/>
              <w:rPr>
                <w:rFonts w:ascii="Times New Roman" w:eastAsiaTheme="minorEastAsia" w:hAnsi="Times New Roman" w:cs="Times New Roman"/>
                <w:b/>
                <w:szCs w:val="24"/>
                <w:lang w:eastAsia="fr-FR"/>
              </w:rPr>
            </w:pPr>
          </w:p>
        </w:tc>
        <w:tc>
          <w:tcPr>
            <w:tcW w:w="1174" w:type="pct"/>
            <w:tcBorders>
              <w:top w:val="single" w:sz="4" w:space="0" w:color="000000"/>
              <w:left w:val="single" w:sz="4" w:space="0" w:color="000000"/>
              <w:bottom w:val="single" w:sz="4" w:space="0" w:color="000000"/>
              <w:right w:val="single" w:sz="4" w:space="0" w:color="000000"/>
            </w:tcBorders>
            <w:hideMark/>
          </w:tcPr>
          <w:p w14:paraId="0D533EF3"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Nombre</w:t>
            </w:r>
          </w:p>
        </w:tc>
        <w:tc>
          <w:tcPr>
            <w:tcW w:w="1326" w:type="pct"/>
            <w:tcBorders>
              <w:top w:val="single" w:sz="4" w:space="0" w:color="000000"/>
              <w:left w:val="single" w:sz="4" w:space="0" w:color="000000"/>
              <w:bottom w:val="single" w:sz="4" w:space="0" w:color="000000"/>
              <w:right w:val="single" w:sz="4" w:space="0" w:color="000000"/>
            </w:tcBorders>
            <w:hideMark/>
          </w:tcPr>
          <w:p w14:paraId="4DA2961E"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w:t>
            </w:r>
          </w:p>
        </w:tc>
      </w:tr>
      <w:tr w:rsidR="00F60C92" w:rsidRPr="004A6E37" w14:paraId="5BCC129A" w14:textId="77777777" w:rsidTr="00A875CA">
        <w:tc>
          <w:tcPr>
            <w:tcW w:w="936" w:type="pct"/>
            <w:vMerge w:val="restart"/>
            <w:tcBorders>
              <w:top w:val="single" w:sz="4" w:space="0" w:color="000000"/>
              <w:left w:val="single" w:sz="4" w:space="0" w:color="000000"/>
              <w:bottom w:val="single" w:sz="4" w:space="0" w:color="000000"/>
              <w:right w:val="single" w:sz="4" w:space="0" w:color="000000"/>
            </w:tcBorders>
          </w:tcPr>
          <w:p w14:paraId="695C544E" w14:textId="77777777" w:rsidR="00F60C92" w:rsidRPr="004A6E37" w:rsidRDefault="00F60C92" w:rsidP="00187565">
            <w:pPr>
              <w:spacing w:line="360" w:lineRule="auto"/>
              <w:jc w:val="both"/>
              <w:rPr>
                <w:rFonts w:ascii="Times New Roman" w:eastAsiaTheme="minorEastAsia" w:hAnsi="Times New Roman" w:cs="Times New Roman"/>
                <w:b/>
                <w:szCs w:val="24"/>
                <w:lang w:eastAsia="fr-FR"/>
              </w:rPr>
            </w:pPr>
          </w:p>
          <w:p w14:paraId="161B318B" w14:textId="77777777" w:rsidR="00F60C92" w:rsidRPr="004A6E37" w:rsidRDefault="00F60C92" w:rsidP="00187565">
            <w:pPr>
              <w:spacing w:after="20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Statut</w:t>
            </w:r>
          </w:p>
        </w:tc>
        <w:tc>
          <w:tcPr>
            <w:tcW w:w="1565" w:type="pct"/>
            <w:tcBorders>
              <w:top w:val="single" w:sz="4" w:space="0" w:color="000000"/>
              <w:left w:val="single" w:sz="4" w:space="0" w:color="000000"/>
              <w:bottom w:val="single" w:sz="4" w:space="0" w:color="000000"/>
              <w:right w:val="single" w:sz="4" w:space="0" w:color="000000"/>
            </w:tcBorders>
            <w:hideMark/>
          </w:tcPr>
          <w:p w14:paraId="2C4868FB" w14:textId="77777777" w:rsidR="00F60C92" w:rsidRPr="004A6E37" w:rsidRDefault="00F60C92" w:rsidP="00187565">
            <w:pPr>
              <w:spacing w:after="200" w:line="360" w:lineRule="auto"/>
              <w:jc w:val="both"/>
              <w:rPr>
                <w:rFonts w:ascii="Times New Roman" w:eastAsiaTheme="minorEastAsia" w:hAnsi="Times New Roman" w:cs="Times New Roman"/>
                <w:szCs w:val="24"/>
                <w:lang w:eastAsia="fr-FR"/>
              </w:rPr>
            </w:pPr>
            <w:r w:rsidRPr="004A6E37">
              <w:rPr>
                <w:rFonts w:ascii="Times New Roman" w:hAnsi="Times New Roman" w:cs="Times New Roman"/>
                <w:szCs w:val="24"/>
              </w:rPr>
              <w:t>National</w:t>
            </w:r>
          </w:p>
        </w:tc>
        <w:tc>
          <w:tcPr>
            <w:tcW w:w="1174" w:type="pct"/>
            <w:tcBorders>
              <w:top w:val="single" w:sz="4" w:space="0" w:color="000000"/>
              <w:left w:val="single" w:sz="4" w:space="0" w:color="000000"/>
              <w:bottom w:val="single" w:sz="4" w:space="0" w:color="000000"/>
              <w:right w:val="single" w:sz="4" w:space="0" w:color="000000"/>
            </w:tcBorders>
            <w:hideMark/>
          </w:tcPr>
          <w:p w14:paraId="70F02399"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666</w:t>
            </w:r>
          </w:p>
        </w:tc>
        <w:tc>
          <w:tcPr>
            <w:tcW w:w="1326" w:type="pct"/>
            <w:tcBorders>
              <w:top w:val="single" w:sz="4" w:space="0" w:color="000000"/>
              <w:left w:val="single" w:sz="4" w:space="0" w:color="000000"/>
              <w:bottom w:val="single" w:sz="4" w:space="0" w:color="000000"/>
              <w:right w:val="single" w:sz="4" w:space="0" w:color="000000"/>
            </w:tcBorders>
            <w:hideMark/>
          </w:tcPr>
          <w:p w14:paraId="47928A2F"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88%</w:t>
            </w:r>
          </w:p>
        </w:tc>
      </w:tr>
      <w:tr w:rsidR="00F60C92" w:rsidRPr="004A6E37" w14:paraId="69AEF90A" w14:textId="77777777" w:rsidTr="00A875CA">
        <w:tc>
          <w:tcPr>
            <w:tcW w:w="936" w:type="pct"/>
            <w:vMerge/>
            <w:tcBorders>
              <w:top w:val="single" w:sz="4" w:space="0" w:color="000000"/>
              <w:left w:val="single" w:sz="4" w:space="0" w:color="000000"/>
              <w:bottom w:val="single" w:sz="4" w:space="0" w:color="000000"/>
              <w:right w:val="single" w:sz="4" w:space="0" w:color="000000"/>
            </w:tcBorders>
            <w:vAlign w:val="center"/>
            <w:hideMark/>
          </w:tcPr>
          <w:p w14:paraId="3EF27C81" w14:textId="77777777" w:rsidR="00F60C92" w:rsidRPr="004A6E37" w:rsidRDefault="00F60C92" w:rsidP="00187565">
            <w:pPr>
              <w:spacing w:after="0" w:line="360" w:lineRule="auto"/>
              <w:rPr>
                <w:rFonts w:ascii="Times New Roman" w:eastAsiaTheme="minorEastAsia" w:hAnsi="Times New Roman" w:cs="Times New Roman"/>
                <w:b/>
                <w:szCs w:val="24"/>
                <w:lang w:eastAsia="fr-FR"/>
              </w:rPr>
            </w:pPr>
          </w:p>
        </w:tc>
        <w:tc>
          <w:tcPr>
            <w:tcW w:w="1565" w:type="pct"/>
            <w:tcBorders>
              <w:top w:val="single" w:sz="4" w:space="0" w:color="000000"/>
              <w:left w:val="single" w:sz="4" w:space="0" w:color="000000"/>
              <w:bottom w:val="single" w:sz="4" w:space="0" w:color="000000"/>
              <w:right w:val="single" w:sz="4" w:space="0" w:color="000000"/>
            </w:tcBorders>
            <w:hideMark/>
          </w:tcPr>
          <w:p w14:paraId="779F438A" w14:textId="77777777" w:rsidR="00F60C92" w:rsidRPr="004A6E37" w:rsidRDefault="00F60C92" w:rsidP="00187565">
            <w:pPr>
              <w:spacing w:after="200" w:line="360" w:lineRule="auto"/>
              <w:jc w:val="both"/>
              <w:rPr>
                <w:rFonts w:ascii="Times New Roman" w:eastAsiaTheme="minorEastAsia" w:hAnsi="Times New Roman" w:cs="Times New Roman"/>
                <w:szCs w:val="24"/>
                <w:lang w:eastAsia="fr-FR"/>
              </w:rPr>
            </w:pPr>
            <w:r w:rsidRPr="004A6E37">
              <w:rPr>
                <w:rFonts w:ascii="Times New Roman" w:hAnsi="Times New Roman" w:cs="Times New Roman"/>
                <w:szCs w:val="24"/>
              </w:rPr>
              <w:t>Etranger</w:t>
            </w:r>
          </w:p>
        </w:tc>
        <w:tc>
          <w:tcPr>
            <w:tcW w:w="1174" w:type="pct"/>
            <w:tcBorders>
              <w:top w:val="single" w:sz="4" w:space="0" w:color="000000"/>
              <w:left w:val="single" w:sz="4" w:space="0" w:color="000000"/>
              <w:bottom w:val="single" w:sz="4" w:space="0" w:color="000000"/>
              <w:right w:val="single" w:sz="4" w:space="0" w:color="000000"/>
            </w:tcBorders>
            <w:hideMark/>
          </w:tcPr>
          <w:p w14:paraId="33EF0DCE"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96</w:t>
            </w:r>
          </w:p>
        </w:tc>
        <w:tc>
          <w:tcPr>
            <w:tcW w:w="1326" w:type="pct"/>
            <w:tcBorders>
              <w:top w:val="single" w:sz="4" w:space="0" w:color="000000"/>
              <w:left w:val="single" w:sz="4" w:space="0" w:color="000000"/>
              <w:bottom w:val="single" w:sz="4" w:space="0" w:color="000000"/>
              <w:right w:val="single" w:sz="4" w:space="0" w:color="000000"/>
            </w:tcBorders>
            <w:hideMark/>
          </w:tcPr>
          <w:p w14:paraId="74F1574C" w14:textId="77777777" w:rsidR="00F60C92" w:rsidRPr="004A6E37" w:rsidRDefault="00F60C92" w:rsidP="00187565">
            <w:pPr>
              <w:spacing w:after="200" w:line="360" w:lineRule="auto"/>
              <w:jc w:val="center"/>
              <w:rPr>
                <w:rFonts w:ascii="Times New Roman" w:eastAsiaTheme="minorEastAsia" w:hAnsi="Times New Roman" w:cs="Times New Roman"/>
                <w:szCs w:val="24"/>
                <w:lang w:eastAsia="fr-FR"/>
              </w:rPr>
            </w:pPr>
            <w:r w:rsidRPr="004A6E37">
              <w:rPr>
                <w:rFonts w:ascii="Times New Roman" w:hAnsi="Times New Roman" w:cs="Times New Roman"/>
                <w:szCs w:val="24"/>
              </w:rPr>
              <w:t>12%</w:t>
            </w:r>
          </w:p>
        </w:tc>
      </w:tr>
      <w:tr w:rsidR="00F60C92" w:rsidRPr="004A6E37" w14:paraId="5BEAFE4A" w14:textId="77777777" w:rsidTr="00A875CA">
        <w:tc>
          <w:tcPr>
            <w:tcW w:w="936" w:type="pct"/>
            <w:tcBorders>
              <w:top w:val="single" w:sz="4" w:space="0" w:color="000000"/>
              <w:left w:val="single" w:sz="4" w:space="0" w:color="000000"/>
              <w:bottom w:val="single" w:sz="4" w:space="0" w:color="000000"/>
              <w:right w:val="single" w:sz="4" w:space="0" w:color="000000"/>
            </w:tcBorders>
            <w:shd w:val="clear" w:color="auto" w:fill="E7E6E6"/>
            <w:hideMark/>
          </w:tcPr>
          <w:p w14:paraId="7894ED57" w14:textId="77777777" w:rsidR="00F60C92" w:rsidRPr="004A6E37" w:rsidRDefault="00F60C92" w:rsidP="00187565">
            <w:pPr>
              <w:spacing w:after="200" w:line="360" w:lineRule="auto"/>
              <w:jc w:val="both"/>
              <w:rPr>
                <w:rFonts w:ascii="Times New Roman" w:eastAsiaTheme="minorEastAsia" w:hAnsi="Times New Roman" w:cs="Times New Roman"/>
                <w:b/>
                <w:szCs w:val="24"/>
                <w:lang w:eastAsia="fr-FR"/>
              </w:rPr>
            </w:pPr>
            <w:r w:rsidRPr="004A6E37">
              <w:rPr>
                <w:rFonts w:ascii="Times New Roman" w:hAnsi="Times New Roman" w:cs="Times New Roman"/>
                <w:b/>
                <w:szCs w:val="24"/>
              </w:rPr>
              <w:t>Total</w:t>
            </w:r>
          </w:p>
        </w:tc>
        <w:tc>
          <w:tcPr>
            <w:tcW w:w="1565" w:type="pct"/>
            <w:tcBorders>
              <w:top w:val="single" w:sz="4" w:space="0" w:color="000000"/>
              <w:left w:val="single" w:sz="4" w:space="0" w:color="000000"/>
              <w:bottom w:val="single" w:sz="4" w:space="0" w:color="000000"/>
              <w:right w:val="single" w:sz="4" w:space="0" w:color="000000"/>
            </w:tcBorders>
            <w:shd w:val="clear" w:color="auto" w:fill="E7E6E6"/>
          </w:tcPr>
          <w:p w14:paraId="0462145A" w14:textId="77777777" w:rsidR="00F60C92" w:rsidRPr="004A6E37" w:rsidRDefault="00F60C92" w:rsidP="00187565">
            <w:pPr>
              <w:spacing w:after="200" w:line="360" w:lineRule="auto"/>
              <w:jc w:val="both"/>
              <w:rPr>
                <w:rFonts w:ascii="Times New Roman" w:eastAsiaTheme="minorEastAsia" w:hAnsi="Times New Roman" w:cs="Times New Roman"/>
                <w:b/>
                <w:szCs w:val="24"/>
                <w:lang w:eastAsia="fr-FR"/>
              </w:rPr>
            </w:pPr>
          </w:p>
        </w:tc>
        <w:tc>
          <w:tcPr>
            <w:tcW w:w="1174" w:type="pct"/>
            <w:tcBorders>
              <w:top w:val="single" w:sz="4" w:space="0" w:color="000000"/>
              <w:left w:val="single" w:sz="4" w:space="0" w:color="000000"/>
              <w:bottom w:val="single" w:sz="4" w:space="0" w:color="000000"/>
              <w:right w:val="single" w:sz="4" w:space="0" w:color="000000"/>
            </w:tcBorders>
            <w:shd w:val="clear" w:color="auto" w:fill="E7E6E6"/>
            <w:hideMark/>
          </w:tcPr>
          <w:p w14:paraId="41B369FB"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762</w:t>
            </w:r>
          </w:p>
        </w:tc>
        <w:tc>
          <w:tcPr>
            <w:tcW w:w="1326" w:type="pct"/>
            <w:tcBorders>
              <w:top w:val="single" w:sz="4" w:space="0" w:color="000000"/>
              <w:left w:val="single" w:sz="4" w:space="0" w:color="000000"/>
              <w:bottom w:val="single" w:sz="4" w:space="0" w:color="000000"/>
              <w:right w:val="single" w:sz="4" w:space="0" w:color="000000"/>
            </w:tcBorders>
            <w:shd w:val="clear" w:color="auto" w:fill="E7E6E6"/>
            <w:hideMark/>
          </w:tcPr>
          <w:p w14:paraId="1AF59F3F" w14:textId="77777777" w:rsidR="00F60C92" w:rsidRPr="004A6E37" w:rsidRDefault="00F60C92" w:rsidP="00187565">
            <w:pPr>
              <w:spacing w:after="200" w:line="360" w:lineRule="auto"/>
              <w:jc w:val="center"/>
              <w:rPr>
                <w:rFonts w:ascii="Times New Roman" w:eastAsiaTheme="minorEastAsia" w:hAnsi="Times New Roman" w:cs="Times New Roman"/>
                <w:b/>
                <w:szCs w:val="24"/>
                <w:lang w:eastAsia="fr-FR"/>
              </w:rPr>
            </w:pPr>
            <w:r w:rsidRPr="004A6E37">
              <w:rPr>
                <w:rFonts w:ascii="Times New Roman" w:hAnsi="Times New Roman" w:cs="Times New Roman"/>
                <w:b/>
                <w:szCs w:val="24"/>
              </w:rPr>
              <w:t>100%</w:t>
            </w:r>
          </w:p>
        </w:tc>
      </w:tr>
    </w:tbl>
    <w:p w14:paraId="612A44E2" w14:textId="77777777" w:rsidR="00C60AC0" w:rsidRPr="004A6E37" w:rsidRDefault="00C60AC0" w:rsidP="00187565">
      <w:pPr>
        <w:spacing w:after="0" w:line="360" w:lineRule="auto"/>
        <w:jc w:val="both"/>
        <w:rPr>
          <w:rFonts w:ascii="Times New Roman" w:eastAsiaTheme="minorEastAsia" w:hAnsi="Times New Roman" w:cs="Times New Roman"/>
          <w:sz w:val="24"/>
          <w:szCs w:val="24"/>
          <w:lang w:eastAsia="fr-FR"/>
        </w:rPr>
      </w:pPr>
    </w:p>
    <w:p w14:paraId="2DA17070" w14:textId="77777777" w:rsidR="00F60C92" w:rsidRPr="004A6E37" w:rsidRDefault="00EC250A" w:rsidP="00187565">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 suivi de ces 1028 OBNL</w:t>
      </w:r>
      <w:r w:rsidR="00F60C92" w:rsidRPr="004A6E37">
        <w:rPr>
          <w:rFonts w:ascii="Times New Roman" w:hAnsi="Times New Roman" w:cs="Times New Roman"/>
          <w:sz w:val="24"/>
          <w:szCs w:val="24"/>
        </w:rPr>
        <w:t xml:space="preserve"> identifiés dans les localités où sévissent les groupes terroristes </w:t>
      </w:r>
      <w:r w:rsidR="00C60AC0" w:rsidRPr="004A6E37">
        <w:rPr>
          <w:rFonts w:ascii="Times New Roman" w:hAnsi="Times New Roman" w:cs="Times New Roman"/>
          <w:sz w:val="24"/>
          <w:szCs w:val="24"/>
        </w:rPr>
        <w:t>s’avère difficile</w:t>
      </w:r>
      <w:r w:rsidR="00411F96" w:rsidRPr="004A6E37">
        <w:rPr>
          <w:rFonts w:ascii="Times New Roman" w:hAnsi="Times New Roman" w:cs="Times New Roman"/>
          <w:sz w:val="24"/>
          <w:szCs w:val="24"/>
        </w:rPr>
        <w:t xml:space="preserve">. Il </w:t>
      </w:r>
      <w:r w:rsidR="00112E16" w:rsidRPr="004A6E37">
        <w:rPr>
          <w:rFonts w:ascii="Times New Roman" w:hAnsi="Times New Roman" w:cs="Times New Roman"/>
          <w:sz w:val="24"/>
          <w:szCs w:val="24"/>
        </w:rPr>
        <w:t>a été retenu 281 OBNL</w:t>
      </w:r>
      <w:r w:rsidR="00911A33" w:rsidRPr="004A6E37">
        <w:rPr>
          <w:rFonts w:ascii="Times New Roman" w:hAnsi="Times New Roman" w:cs="Times New Roman"/>
          <w:sz w:val="24"/>
          <w:szCs w:val="24"/>
        </w:rPr>
        <w:t xml:space="preserve"> suivant les critères ci-dessou</w:t>
      </w:r>
      <w:r w:rsidR="00F60C92" w:rsidRPr="004A6E37">
        <w:rPr>
          <w:rFonts w:ascii="Times New Roman" w:hAnsi="Times New Roman" w:cs="Times New Roman"/>
          <w:sz w:val="24"/>
          <w:szCs w:val="24"/>
        </w:rPr>
        <w:t>s</w:t>
      </w:r>
      <w:r w:rsidR="00DC1BE8" w:rsidRPr="004A6E37">
        <w:rPr>
          <w:rFonts w:ascii="Times New Roman" w:hAnsi="Times New Roman" w:cs="Times New Roman"/>
          <w:sz w:val="24"/>
          <w:szCs w:val="24"/>
        </w:rPr>
        <w:t xml:space="preserve"> </w:t>
      </w:r>
      <w:r w:rsidR="00F60C92" w:rsidRPr="004A6E37">
        <w:rPr>
          <w:rFonts w:ascii="Times New Roman" w:hAnsi="Times New Roman" w:cs="Times New Roman"/>
          <w:sz w:val="24"/>
          <w:szCs w:val="24"/>
        </w:rPr>
        <w:t>:</w:t>
      </w:r>
    </w:p>
    <w:p w14:paraId="25634677" w14:textId="77777777" w:rsidR="00F60C92" w:rsidRPr="004A6E37" w:rsidRDefault="00AD5F18" w:rsidP="00920BFE">
      <w:pPr>
        <w:pStyle w:val="Paragraphedeliste"/>
        <w:numPr>
          <w:ilvl w:val="0"/>
          <w:numId w:val="21"/>
        </w:numPr>
        <w:spacing w:line="360" w:lineRule="auto"/>
        <w:jc w:val="both"/>
        <w:rPr>
          <w:rFonts w:ascii="Times New Roman" w:hAnsi="Times New Roman" w:cs="Times New Roman"/>
          <w:sz w:val="24"/>
          <w:szCs w:val="24"/>
        </w:rPr>
      </w:pPr>
      <w:r w:rsidRPr="004A6E37">
        <w:rPr>
          <w:rFonts w:ascii="Times New Roman" w:hAnsi="Times New Roman" w:cs="Times New Roman"/>
          <w:sz w:val="24"/>
          <w:szCs w:val="24"/>
        </w:rPr>
        <w:t>l’importance</w:t>
      </w:r>
      <w:r w:rsidR="00F60C92" w:rsidRPr="004A6E37">
        <w:rPr>
          <w:rFonts w:ascii="Times New Roman" w:hAnsi="Times New Roman" w:cs="Times New Roman"/>
          <w:sz w:val="24"/>
          <w:szCs w:val="24"/>
        </w:rPr>
        <w:t xml:space="preserve"> des vulnérabilités structurelles qui s’accentuent lorsque l’État manque de connaissan</w:t>
      </w:r>
      <w:r w:rsidR="005B3A67" w:rsidRPr="004A6E37">
        <w:rPr>
          <w:rFonts w:ascii="Times New Roman" w:hAnsi="Times New Roman" w:cs="Times New Roman"/>
          <w:sz w:val="24"/>
          <w:szCs w:val="24"/>
        </w:rPr>
        <w:t>ces sur la taille, la portée, l’</w:t>
      </w:r>
      <w:r w:rsidR="00F60C92" w:rsidRPr="004A6E37">
        <w:rPr>
          <w:rFonts w:ascii="Times New Roman" w:hAnsi="Times New Roman" w:cs="Times New Roman"/>
          <w:sz w:val="24"/>
          <w:szCs w:val="24"/>
        </w:rPr>
        <w:t>envergure et les caractéristiques spécifiques des populations de la localité ;</w:t>
      </w:r>
    </w:p>
    <w:p w14:paraId="6C930B89" w14:textId="77777777" w:rsidR="00F60C92" w:rsidRPr="004A6E37" w:rsidRDefault="00AD5F18" w:rsidP="00920BFE">
      <w:pPr>
        <w:pStyle w:val="Paragraphedeliste"/>
        <w:numPr>
          <w:ilvl w:val="0"/>
          <w:numId w:val="21"/>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 v</w:t>
      </w:r>
      <w:r w:rsidR="00F60C92" w:rsidRPr="004A6E37">
        <w:rPr>
          <w:rFonts w:ascii="Times New Roman" w:hAnsi="Times New Roman" w:cs="Times New Roman"/>
          <w:sz w:val="24"/>
          <w:szCs w:val="24"/>
        </w:rPr>
        <w:t>olume important de liquidité en circulation</w:t>
      </w:r>
      <w:r w:rsidR="00CA1FA7" w:rsidRPr="004A6E37">
        <w:rPr>
          <w:rFonts w:ascii="Times New Roman" w:hAnsi="Times New Roman" w:cs="Times New Roman"/>
          <w:sz w:val="24"/>
          <w:szCs w:val="24"/>
        </w:rPr>
        <w:t> ;</w:t>
      </w:r>
    </w:p>
    <w:p w14:paraId="602E6B79" w14:textId="77777777" w:rsidR="00F60C92" w:rsidRPr="004A6E37" w:rsidRDefault="00F60C92" w:rsidP="00920BFE">
      <w:pPr>
        <w:pStyle w:val="Paragraphedeliste"/>
        <w:numPr>
          <w:ilvl w:val="0"/>
          <w:numId w:val="21"/>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les OBNL opérant essentiellement dans les Régions de Mopti, T</w:t>
      </w:r>
      <w:r w:rsidR="00CA1FA7" w:rsidRPr="004A6E37">
        <w:rPr>
          <w:rFonts w:ascii="Times New Roman" w:hAnsi="Times New Roman" w:cs="Times New Roman"/>
          <w:sz w:val="24"/>
          <w:szCs w:val="24"/>
        </w:rPr>
        <w:t>ombouctou, Gao, Kidal et Ménaka ;</w:t>
      </w:r>
    </w:p>
    <w:p w14:paraId="6FDDDF97" w14:textId="77777777" w:rsidR="00F60C92" w:rsidRPr="004A6E37" w:rsidRDefault="00F60C92" w:rsidP="00920BFE">
      <w:pPr>
        <w:pStyle w:val="Paragraphedeliste"/>
        <w:numPr>
          <w:ilvl w:val="0"/>
          <w:numId w:val="21"/>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Les OBNL ayant leurs sièges dans ces localités ;</w:t>
      </w:r>
    </w:p>
    <w:p w14:paraId="2DD78D81" w14:textId="77777777" w:rsidR="00F60C92" w:rsidRPr="004A6E37" w:rsidRDefault="006D4AED" w:rsidP="00920BFE">
      <w:pPr>
        <w:pStyle w:val="Paragraphedeliste"/>
        <w:numPr>
          <w:ilvl w:val="0"/>
          <w:numId w:val="21"/>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lastRenderedPageBreak/>
        <w:t>Les OBNL internationaux</w:t>
      </w:r>
      <w:r w:rsidR="00F60C92" w:rsidRPr="004A6E37">
        <w:rPr>
          <w:rFonts w:ascii="Times New Roman" w:hAnsi="Times New Roman" w:cs="Times New Roman"/>
          <w:sz w:val="24"/>
          <w:szCs w:val="24"/>
        </w:rPr>
        <w:t xml:space="preserve"> dont les principales activités sont menées dans ces localités ;</w:t>
      </w:r>
    </w:p>
    <w:p w14:paraId="415C6C33" w14:textId="77777777" w:rsidR="00F60C92" w:rsidRPr="004A6E37" w:rsidRDefault="00F60C92" w:rsidP="00920BFE">
      <w:pPr>
        <w:pStyle w:val="Paragraphedeliste"/>
        <w:numPr>
          <w:ilvl w:val="0"/>
          <w:numId w:val="21"/>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Les OBNL </w:t>
      </w:r>
      <w:r w:rsidR="00ED49D2" w:rsidRPr="004A6E37">
        <w:rPr>
          <w:rFonts w:ascii="Times New Roman" w:hAnsi="Times New Roman" w:cs="Times New Roman"/>
          <w:sz w:val="24"/>
          <w:szCs w:val="24"/>
        </w:rPr>
        <w:t>d</w:t>
      </w:r>
      <w:r w:rsidRPr="004A6E37">
        <w:rPr>
          <w:rFonts w:ascii="Times New Roman" w:hAnsi="Times New Roman" w:cs="Times New Roman"/>
          <w:sz w:val="24"/>
          <w:szCs w:val="24"/>
        </w:rPr>
        <w:t>ont le chiffre d’affaire est supérieur à</w:t>
      </w:r>
      <w:r w:rsidR="00CA1FA7" w:rsidRPr="004A6E37">
        <w:rPr>
          <w:rFonts w:ascii="Times New Roman" w:hAnsi="Times New Roman" w:cs="Times New Roman"/>
          <w:sz w:val="24"/>
          <w:szCs w:val="24"/>
        </w:rPr>
        <w:t xml:space="preserve"> </w:t>
      </w:r>
      <w:r w:rsidRPr="004A6E37">
        <w:rPr>
          <w:rFonts w:ascii="Times New Roman" w:hAnsi="Times New Roman" w:cs="Times New Roman"/>
          <w:sz w:val="24"/>
          <w:szCs w:val="24"/>
        </w:rPr>
        <w:t>100 millions de FCFA ;</w:t>
      </w:r>
    </w:p>
    <w:p w14:paraId="11AFAE4E" w14:textId="77777777" w:rsidR="00F60C92" w:rsidRPr="004A6E37" w:rsidRDefault="00D57257" w:rsidP="00920BFE">
      <w:pPr>
        <w:pStyle w:val="Paragraphedeliste"/>
        <w:numPr>
          <w:ilvl w:val="0"/>
          <w:numId w:val="21"/>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Les OBNL identifié</w:t>
      </w:r>
      <w:r w:rsidR="00F60C92" w:rsidRPr="004A6E37">
        <w:rPr>
          <w:rFonts w:ascii="Times New Roman" w:hAnsi="Times New Roman" w:cs="Times New Roman"/>
          <w:sz w:val="24"/>
          <w:szCs w:val="24"/>
        </w:rPr>
        <w:t>s par la mission de la visite sur site.</w:t>
      </w:r>
    </w:p>
    <w:p w14:paraId="1BBEAEA5" w14:textId="77777777" w:rsidR="00F60C92" w:rsidRPr="004A6E37" w:rsidRDefault="00F60C92" w:rsidP="00187565">
      <w:p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De ce  qui précède, il ressort que le suivi doit porter sur 281 OBNL suivant le tableau ci-dess</w:t>
      </w:r>
      <w:r w:rsidR="00911A33" w:rsidRPr="004A6E37">
        <w:rPr>
          <w:rFonts w:ascii="Times New Roman" w:hAnsi="Times New Roman" w:cs="Times New Roman"/>
          <w:sz w:val="24"/>
          <w:szCs w:val="24"/>
        </w:rPr>
        <w:t>o</w:t>
      </w:r>
      <w:r w:rsidRPr="004A6E37">
        <w:rPr>
          <w:rFonts w:ascii="Times New Roman" w:hAnsi="Times New Roman" w:cs="Times New Roman"/>
          <w:sz w:val="24"/>
          <w:szCs w:val="24"/>
        </w:rPr>
        <w:t xml:space="preserve">us.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969"/>
        <w:gridCol w:w="2078"/>
        <w:gridCol w:w="2516"/>
      </w:tblGrid>
      <w:tr w:rsidR="00F60C92" w:rsidRPr="004A6E37" w14:paraId="4B7F51F6" w14:textId="77777777" w:rsidTr="00A875CA">
        <w:tc>
          <w:tcPr>
            <w:tcW w:w="1014" w:type="pct"/>
            <w:vMerge w:val="restart"/>
            <w:tcBorders>
              <w:top w:val="single" w:sz="4" w:space="0" w:color="000000"/>
              <w:left w:val="single" w:sz="4" w:space="0" w:color="000000"/>
              <w:bottom w:val="single" w:sz="4" w:space="0" w:color="000000"/>
              <w:right w:val="single" w:sz="4" w:space="0" w:color="000000"/>
            </w:tcBorders>
            <w:hideMark/>
          </w:tcPr>
          <w:p w14:paraId="7D3EAE47" w14:textId="77777777" w:rsidR="00F60C92" w:rsidRPr="004A6E37" w:rsidRDefault="00F60C92" w:rsidP="00187565">
            <w:pPr>
              <w:spacing w:after="200" w:line="360" w:lineRule="auto"/>
              <w:jc w:val="center"/>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OBNL</w:t>
            </w:r>
          </w:p>
        </w:tc>
        <w:tc>
          <w:tcPr>
            <w:tcW w:w="1565" w:type="pct"/>
            <w:vMerge w:val="restart"/>
            <w:tcBorders>
              <w:top w:val="single" w:sz="4" w:space="0" w:color="000000"/>
              <w:left w:val="single" w:sz="4" w:space="0" w:color="000000"/>
              <w:bottom w:val="single" w:sz="4" w:space="0" w:color="000000"/>
              <w:right w:val="single" w:sz="4" w:space="0" w:color="000000"/>
            </w:tcBorders>
            <w:hideMark/>
          </w:tcPr>
          <w:p w14:paraId="68B0DECA" w14:textId="77777777" w:rsidR="00F60C92" w:rsidRPr="004A6E37" w:rsidRDefault="00F60C92" w:rsidP="00187565">
            <w:pPr>
              <w:spacing w:after="200" w:line="360" w:lineRule="auto"/>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OBNL à risque élevé (nombre total) : 281</w:t>
            </w:r>
          </w:p>
        </w:tc>
        <w:tc>
          <w:tcPr>
            <w:tcW w:w="2421" w:type="pct"/>
            <w:gridSpan w:val="2"/>
            <w:tcBorders>
              <w:top w:val="single" w:sz="4" w:space="0" w:color="000000"/>
              <w:left w:val="single" w:sz="4" w:space="0" w:color="000000"/>
              <w:bottom w:val="single" w:sz="4" w:space="0" w:color="000000"/>
              <w:right w:val="single" w:sz="4" w:space="0" w:color="000000"/>
            </w:tcBorders>
            <w:hideMark/>
          </w:tcPr>
          <w:p w14:paraId="645FD51B" w14:textId="77777777" w:rsidR="00F60C92" w:rsidRPr="004A6E37" w:rsidRDefault="00F60C92" w:rsidP="00187565">
            <w:pPr>
              <w:spacing w:after="200" w:line="360" w:lineRule="auto"/>
              <w:jc w:val="center"/>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Effectif</w:t>
            </w:r>
          </w:p>
        </w:tc>
      </w:tr>
      <w:tr w:rsidR="00F60C92" w:rsidRPr="004A6E37" w14:paraId="1937BB8F" w14:textId="77777777" w:rsidTr="00A875CA">
        <w:trPr>
          <w:trHeight w:val="247"/>
        </w:trPr>
        <w:tc>
          <w:tcPr>
            <w:tcW w:w="1014" w:type="pct"/>
            <w:vMerge/>
            <w:tcBorders>
              <w:top w:val="single" w:sz="4" w:space="0" w:color="000000"/>
              <w:left w:val="single" w:sz="4" w:space="0" w:color="000000"/>
              <w:bottom w:val="single" w:sz="4" w:space="0" w:color="000000"/>
              <w:right w:val="single" w:sz="4" w:space="0" w:color="000000"/>
            </w:tcBorders>
            <w:vAlign w:val="center"/>
            <w:hideMark/>
          </w:tcPr>
          <w:p w14:paraId="6E782C72" w14:textId="77777777" w:rsidR="00F60C92" w:rsidRPr="004A6E37" w:rsidRDefault="00F60C92" w:rsidP="00187565">
            <w:pPr>
              <w:spacing w:after="0" w:line="360" w:lineRule="auto"/>
              <w:rPr>
                <w:rFonts w:ascii="Times New Roman" w:eastAsiaTheme="minorEastAsia" w:hAnsi="Times New Roman" w:cs="Times New Roman"/>
                <w:b/>
                <w:sz w:val="24"/>
                <w:szCs w:val="24"/>
                <w:lang w:eastAsia="fr-FR"/>
              </w:rPr>
            </w:pPr>
          </w:p>
        </w:tc>
        <w:tc>
          <w:tcPr>
            <w:tcW w:w="1565" w:type="pct"/>
            <w:vMerge/>
            <w:tcBorders>
              <w:top w:val="single" w:sz="4" w:space="0" w:color="000000"/>
              <w:left w:val="single" w:sz="4" w:space="0" w:color="000000"/>
              <w:bottom w:val="single" w:sz="4" w:space="0" w:color="000000"/>
              <w:right w:val="single" w:sz="4" w:space="0" w:color="000000"/>
            </w:tcBorders>
            <w:vAlign w:val="center"/>
            <w:hideMark/>
          </w:tcPr>
          <w:p w14:paraId="134E08B4" w14:textId="77777777" w:rsidR="00F60C92" w:rsidRPr="004A6E37" w:rsidRDefault="00F60C92" w:rsidP="00187565">
            <w:pPr>
              <w:spacing w:after="0" w:line="360" w:lineRule="auto"/>
              <w:rPr>
                <w:rFonts w:ascii="Times New Roman" w:eastAsiaTheme="minorEastAsia" w:hAnsi="Times New Roman" w:cs="Times New Roman"/>
                <w:b/>
                <w:sz w:val="24"/>
                <w:szCs w:val="24"/>
                <w:lang w:eastAsia="fr-FR"/>
              </w:rPr>
            </w:pPr>
          </w:p>
        </w:tc>
        <w:tc>
          <w:tcPr>
            <w:tcW w:w="1095" w:type="pct"/>
            <w:tcBorders>
              <w:top w:val="single" w:sz="4" w:space="0" w:color="000000"/>
              <w:left w:val="single" w:sz="4" w:space="0" w:color="000000"/>
              <w:bottom w:val="single" w:sz="4" w:space="0" w:color="000000"/>
              <w:right w:val="single" w:sz="4" w:space="0" w:color="000000"/>
            </w:tcBorders>
            <w:hideMark/>
          </w:tcPr>
          <w:p w14:paraId="33B09B76" w14:textId="77777777" w:rsidR="00F60C92" w:rsidRPr="004A6E37" w:rsidRDefault="00F60C92" w:rsidP="00187565">
            <w:pPr>
              <w:spacing w:after="200" w:line="360" w:lineRule="auto"/>
              <w:jc w:val="center"/>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Nombre</w:t>
            </w:r>
          </w:p>
        </w:tc>
        <w:tc>
          <w:tcPr>
            <w:tcW w:w="1326" w:type="pct"/>
            <w:tcBorders>
              <w:top w:val="single" w:sz="4" w:space="0" w:color="000000"/>
              <w:left w:val="single" w:sz="4" w:space="0" w:color="000000"/>
              <w:bottom w:val="single" w:sz="4" w:space="0" w:color="000000"/>
              <w:right w:val="single" w:sz="4" w:space="0" w:color="000000"/>
            </w:tcBorders>
            <w:hideMark/>
          </w:tcPr>
          <w:p w14:paraId="1948CEF1" w14:textId="77777777" w:rsidR="00F60C92" w:rsidRPr="004A6E37" w:rsidRDefault="00F60C92" w:rsidP="00187565">
            <w:pPr>
              <w:spacing w:after="200" w:line="360" w:lineRule="auto"/>
              <w:jc w:val="center"/>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w:t>
            </w:r>
          </w:p>
        </w:tc>
      </w:tr>
      <w:tr w:rsidR="00F60C92" w:rsidRPr="004A6E37" w14:paraId="72887E76" w14:textId="77777777" w:rsidTr="00A875CA">
        <w:tc>
          <w:tcPr>
            <w:tcW w:w="1014" w:type="pct"/>
            <w:vMerge w:val="restart"/>
            <w:tcBorders>
              <w:top w:val="single" w:sz="4" w:space="0" w:color="000000"/>
              <w:left w:val="single" w:sz="4" w:space="0" w:color="000000"/>
              <w:bottom w:val="single" w:sz="4" w:space="0" w:color="000000"/>
              <w:right w:val="single" w:sz="4" w:space="0" w:color="000000"/>
            </w:tcBorders>
          </w:tcPr>
          <w:p w14:paraId="0A2325C8" w14:textId="77777777" w:rsidR="00F60C92" w:rsidRPr="004A6E37" w:rsidRDefault="00F60C92" w:rsidP="00187565">
            <w:pPr>
              <w:spacing w:line="360" w:lineRule="auto"/>
              <w:jc w:val="both"/>
              <w:rPr>
                <w:rFonts w:ascii="Times New Roman" w:eastAsiaTheme="minorEastAsia" w:hAnsi="Times New Roman" w:cs="Times New Roman"/>
                <w:b/>
                <w:sz w:val="24"/>
                <w:szCs w:val="24"/>
                <w:lang w:eastAsia="fr-FR"/>
              </w:rPr>
            </w:pPr>
          </w:p>
          <w:p w14:paraId="016D326A" w14:textId="77777777" w:rsidR="00F60C92" w:rsidRPr="004A6E37" w:rsidRDefault="00F60C92" w:rsidP="00187565">
            <w:pPr>
              <w:spacing w:after="200" w:line="360" w:lineRule="auto"/>
              <w:jc w:val="both"/>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Statut</w:t>
            </w:r>
          </w:p>
        </w:tc>
        <w:tc>
          <w:tcPr>
            <w:tcW w:w="1565" w:type="pct"/>
            <w:tcBorders>
              <w:top w:val="single" w:sz="4" w:space="0" w:color="000000"/>
              <w:left w:val="single" w:sz="4" w:space="0" w:color="000000"/>
              <w:bottom w:val="single" w:sz="4" w:space="0" w:color="000000"/>
              <w:right w:val="single" w:sz="4" w:space="0" w:color="000000"/>
            </w:tcBorders>
            <w:hideMark/>
          </w:tcPr>
          <w:p w14:paraId="5533CE4B" w14:textId="77777777" w:rsidR="00F60C92" w:rsidRPr="004A6E37" w:rsidRDefault="00F60C92" w:rsidP="00187565">
            <w:pPr>
              <w:spacing w:after="200" w:line="360" w:lineRule="auto"/>
              <w:jc w:val="both"/>
              <w:rPr>
                <w:rFonts w:ascii="Times New Roman" w:eastAsiaTheme="minorEastAsia" w:hAnsi="Times New Roman" w:cs="Times New Roman"/>
                <w:sz w:val="24"/>
                <w:szCs w:val="24"/>
                <w:lang w:eastAsia="fr-FR"/>
              </w:rPr>
            </w:pPr>
            <w:r w:rsidRPr="004A6E37">
              <w:rPr>
                <w:rFonts w:ascii="Times New Roman" w:hAnsi="Times New Roman" w:cs="Times New Roman"/>
                <w:sz w:val="24"/>
                <w:szCs w:val="24"/>
              </w:rPr>
              <w:t>National</w:t>
            </w:r>
          </w:p>
        </w:tc>
        <w:tc>
          <w:tcPr>
            <w:tcW w:w="1095" w:type="pct"/>
            <w:tcBorders>
              <w:top w:val="single" w:sz="4" w:space="0" w:color="000000"/>
              <w:left w:val="single" w:sz="4" w:space="0" w:color="000000"/>
              <w:bottom w:val="single" w:sz="4" w:space="0" w:color="000000"/>
              <w:right w:val="single" w:sz="4" w:space="0" w:color="000000"/>
            </w:tcBorders>
            <w:hideMark/>
          </w:tcPr>
          <w:p w14:paraId="3F7DFF85" w14:textId="77777777" w:rsidR="00F60C92" w:rsidRPr="004A6E37" w:rsidRDefault="00F60C92" w:rsidP="00187565">
            <w:pPr>
              <w:spacing w:after="200" w:line="360" w:lineRule="auto"/>
              <w:jc w:val="center"/>
              <w:rPr>
                <w:rFonts w:ascii="Times New Roman" w:eastAsiaTheme="minorEastAsia" w:hAnsi="Times New Roman" w:cs="Times New Roman"/>
                <w:sz w:val="24"/>
                <w:szCs w:val="24"/>
                <w:lang w:eastAsia="fr-FR"/>
              </w:rPr>
            </w:pPr>
            <w:r w:rsidRPr="004A6E37">
              <w:rPr>
                <w:rFonts w:ascii="Times New Roman" w:hAnsi="Times New Roman" w:cs="Times New Roman"/>
                <w:sz w:val="24"/>
                <w:szCs w:val="24"/>
              </w:rPr>
              <w:t>246</w:t>
            </w:r>
          </w:p>
        </w:tc>
        <w:tc>
          <w:tcPr>
            <w:tcW w:w="1326" w:type="pct"/>
            <w:tcBorders>
              <w:top w:val="single" w:sz="4" w:space="0" w:color="000000"/>
              <w:left w:val="single" w:sz="4" w:space="0" w:color="000000"/>
              <w:bottom w:val="single" w:sz="4" w:space="0" w:color="000000"/>
              <w:right w:val="single" w:sz="4" w:space="0" w:color="000000"/>
            </w:tcBorders>
          </w:tcPr>
          <w:p w14:paraId="5FC06250" w14:textId="77777777" w:rsidR="00F60C92" w:rsidRPr="004A6E37" w:rsidRDefault="00F60C92" w:rsidP="00187565">
            <w:pPr>
              <w:spacing w:after="200" w:line="360" w:lineRule="auto"/>
              <w:jc w:val="center"/>
              <w:rPr>
                <w:rFonts w:ascii="Times New Roman" w:eastAsiaTheme="minorEastAsia" w:hAnsi="Times New Roman" w:cs="Times New Roman"/>
                <w:sz w:val="24"/>
                <w:szCs w:val="24"/>
                <w:lang w:eastAsia="fr-FR"/>
              </w:rPr>
            </w:pPr>
          </w:p>
        </w:tc>
      </w:tr>
      <w:tr w:rsidR="00F60C92" w:rsidRPr="004A6E37" w14:paraId="1E782706" w14:textId="77777777" w:rsidTr="00A875CA">
        <w:tc>
          <w:tcPr>
            <w:tcW w:w="1014" w:type="pct"/>
            <w:vMerge/>
            <w:tcBorders>
              <w:top w:val="single" w:sz="4" w:space="0" w:color="000000"/>
              <w:left w:val="single" w:sz="4" w:space="0" w:color="000000"/>
              <w:bottom w:val="single" w:sz="4" w:space="0" w:color="000000"/>
              <w:right w:val="single" w:sz="4" w:space="0" w:color="000000"/>
            </w:tcBorders>
            <w:vAlign w:val="center"/>
            <w:hideMark/>
          </w:tcPr>
          <w:p w14:paraId="7968682E" w14:textId="77777777" w:rsidR="00F60C92" w:rsidRPr="004A6E37" w:rsidRDefault="00F60C92" w:rsidP="00187565">
            <w:pPr>
              <w:spacing w:after="0" w:line="360" w:lineRule="auto"/>
              <w:rPr>
                <w:rFonts w:ascii="Times New Roman" w:eastAsiaTheme="minorEastAsia" w:hAnsi="Times New Roman" w:cs="Times New Roman"/>
                <w:b/>
                <w:sz w:val="24"/>
                <w:szCs w:val="24"/>
                <w:lang w:eastAsia="fr-FR"/>
              </w:rPr>
            </w:pPr>
          </w:p>
        </w:tc>
        <w:tc>
          <w:tcPr>
            <w:tcW w:w="1565" w:type="pct"/>
            <w:tcBorders>
              <w:top w:val="single" w:sz="4" w:space="0" w:color="000000"/>
              <w:left w:val="single" w:sz="4" w:space="0" w:color="000000"/>
              <w:bottom w:val="single" w:sz="4" w:space="0" w:color="000000"/>
              <w:right w:val="single" w:sz="4" w:space="0" w:color="000000"/>
            </w:tcBorders>
            <w:hideMark/>
          </w:tcPr>
          <w:p w14:paraId="35719B88" w14:textId="77777777" w:rsidR="00F60C92" w:rsidRPr="004A6E37" w:rsidRDefault="00F60C92" w:rsidP="00187565">
            <w:pPr>
              <w:spacing w:after="200" w:line="360" w:lineRule="auto"/>
              <w:jc w:val="both"/>
              <w:rPr>
                <w:rFonts w:ascii="Times New Roman" w:eastAsiaTheme="minorEastAsia" w:hAnsi="Times New Roman" w:cs="Times New Roman"/>
                <w:sz w:val="24"/>
                <w:szCs w:val="24"/>
                <w:lang w:eastAsia="fr-FR"/>
              </w:rPr>
            </w:pPr>
            <w:r w:rsidRPr="004A6E37">
              <w:rPr>
                <w:rFonts w:ascii="Times New Roman" w:hAnsi="Times New Roman" w:cs="Times New Roman"/>
                <w:sz w:val="24"/>
                <w:szCs w:val="24"/>
              </w:rPr>
              <w:t>Etranger</w:t>
            </w:r>
          </w:p>
        </w:tc>
        <w:tc>
          <w:tcPr>
            <w:tcW w:w="1095" w:type="pct"/>
            <w:tcBorders>
              <w:top w:val="single" w:sz="4" w:space="0" w:color="000000"/>
              <w:left w:val="single" w:sz="4" w:space="0" w:color="000000"/>
              <w:bottom w:val="single" w:sz="4" w:space="0" w:color="000000"/>
              <w:right w:val="single" w:sz="4" w:space="0" w:color="000000"/>
            </w:tcBorders>
            <w:hideMark/>
          </w:tcPr>
          <w:p w14:paraId="62687CC2" w14:textId="77777777" w:rsidR="00F60C92" w:rsidRPr="004A6E37" w:rsidRDefault="00F60C92" w:rsidP="00187565">
            <w:pPr>
              <w:spacing w:after="200" w:line="360" w:lineRule="auto"/>
              <w:jc w:val="center"/>
              <w:rPr>
                <w:rFonts w:ascii="Times New Roman" w:eastAsiaTheme="minorEastAsia" w:hAnsi="Times New Roman" w:cs="Times New Roman"/>
                <w:sz w:val="24"/>
                <w:szCs w:val="24"/>
                <w:lang w:eastAsia="fr-FR"/>
              </w:rPr>
            </w:pPr>
            <w:r w:rsidRPr="004A6E37">
              <w:rPr>
                <w:rFonts w:ascii="Times New Roman" w:hAnsi="Times New Roman" w:cs="Times New Roman"/>
                <w:sz w:val="24"/>
                <w:szCs w:val="24"/>
              </w:rPr>
              <w:t>35</w:t>
            </w:r>
          </w:p>
        </w:tc>
        <w:tc>
          <w:tcPr>
            <w:tcW w:w="1326" w:type="pct"/>
            <w:tcBorders>
              <w:top w:val="single" w:sz="4" w:space="0" w:color="000000"/>
              <w:left w:val="single" w:sz="4" w:space="0" w:color="000000"/>
              <w:bottom w:val="single" w:sz="4" w:space="0" w:color="000000"/>
              <w:right w:val="single" w:sz="4" w:space="0" w:color="000000"/>
            </w:tcBorders>
          </w:tcPr>
          <w:p w14:paraId="5D86FBD6" w14:textId="77777777" w:rsidR="00F60C92" w:rsidRPr="004A6E37" w:rsidRDefault="00F60C92" w:rsidP="00187565">
            <w:pPr>
              <w:spacing w:after="200" w:line="360" w:lineRule="auto"/>
              <w:jc w:val="center"/>
              <w:rPr>
                <w:rFonts w:ascii="Times New Roman" w:eastAsiaTheme="minorEastAsia" w:hAnsi="Times New Roman" w:cs="Times New Roman"/>
                <w:sz w:val="24"/>
                <w:szCs w:val="24"/>
                <w:lang w:eastAsia="fr-FR"/>
              </w:rPr>
            </w:pPr>
          </w:p>
        </w:tc>
      </w:tr>
      <w:tr w:rsidR="00F60C92" w:rsidRPr="004A6E37" w14:paraId="2219D7B7" w14:textId="77777777" w:rsidTr="00A875CA">
        <w:tc>
          <w:tcPr>
            <w:tcW w:w="1014" w:type="pct"/>
            <w:tcBorders>
              <w:top w:val="single" w:sz="4" w:space="0" w:color="000000"/>
              <w:left w:val="single" w:sz="4" w:space="0" w:color="000000"/>
              <w:bottom w:val="single" w:sz="4" w:space="0" w:color="000000"/>
              <w:right w:val="single" w:sz="4" w:space="0" w:color="000000"/>
            </w:tcBorders>
            <w:shd w:val="clear" w:color="auto" w:fill="E7E6E6"/>
            <w:hideMark/>
          </w:tcPr>
          <w:p w14:paraId="027DC256" w14:textId="77777777" w:rsidR="00F60C92" w:rsidRPr="004A6E37" w:rsidRDefault="00F60C92" w:rsidP="00187565">
            <w:pPr>
              <w:spacing w:after="200" w:line="360" w:lineRule="auto"/>
              <w:jc w:val="both"/>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Total</w:t>
            </w:r>
          </w:p>
        </w:tc>
        <w:tc>
          <w:tcPr>
            <w:tcW w:w="1565" w:type="pct"/>
            <w:tcBorders>
              <w:top w:val="single" w:sz="4" w:space="0" w:color="000000"/>
              <w:left w:val="single" w:sz="4" w:space="0" w:color="000000"/>
              <w:bottom w:val="single" w:sz="4" w:space="0" w:color="000000"/>
              <w:right w:val="single" w:sz="4" w:space="0" w:color="000000"/>
            </w:tcBorders>
            <w:shd w:val="clear" w:color="auto" w:fill="E7E6E6"/>
          </w:tcPr>
          <w:p w14:paraId="2D9516B7" w14:textId="77777777" w:rsidR="00F60C92" w:rsidRPr="004A6E37" w:rsidRDefault="00F60C92" w:rsidP="00187565">
            <w:pPr>
              <w:spacing w:after="200" w:line="360" w:lineRule="auto"/>
              <w:jc w:val="both"/>
              <w:rPr>
                <w:rFonts w:ascii="Times New Roman" w:eastAsiaTheme="minorEastAsia" w:hAnsi="Times New Roman" w:cs="Times New Roman"/>
                <w:b/>
                <w:sz w:val="24"/>
                <w:szCs w:val="24"/>
                <w:lang w:eastAsia="fr-FR"/>
              </w:rPr>
            </w:pPr>
          </w:p>
        </w:tc>
        <w:tc>
          <w:tcPr>
            <w:tcW w:w="1095" w:type="pct"/>
            <w:tcBorders>
              <w:top w:val="single" w:sz="4" w:space="0" w:color="000000"/>
              <w:left w:val="single" w:sz="4" w:space="0" w:color="000000"/>
              <w:bottom w:val="single" w:sz="4" w:space="0" w:color="000000"/>
              <w:right w:val="single" w:sz="4" w:space="0" w:color="000000"/>
            </w:tcBorders>
            <w:shd w:val="clear" w:color="auto" w:fill="E7E6E6"/>
            <w:hideMark/>
          </w:tcPr>
          <w:p w14:paraId="4B952A2C" w14:textId="77777777" w:rsidR="00F60C92" w:rsidRPr="004A6E37" w:rsidRDefault="00F60C92" w:rsidP="00187565">
            <w:pPr>
              <w:spacing w:after="200" w:line="360" w:lineRule="auto"/>
              <w:jc w:val="center"/>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 xml:space="preserve"> 281</w:t>
            </w:r>
          </w:p>
        </w:tc>
        <w:tc>
          <w:tcPr>
            <w:tcW w:w="1326" w:type="pct"/>
            <w:tcBorders>
              <w:top w:val="single" w:sz="4" w:space="0" w:color="000000"/>
              <w:left w:val="single" w:sz="4" w:space="0" w:color="000000"/>
              <w:bottom w:val="single" w:sz="4" w:space="0" w:color="000000"/>
              <w:right w:val="single" w:sz="4" w:space="0" w:color="000000"/>
            </w:tcBorders>
            <w:shd w:val="clear" w:color="auto" w:fill="E7E6E6"/>
            <w:hideMark/>
          </w:tcPr>
          <w:p w14:paraId="347FB39A" w14:textId="77777777" w:rsidR="00F60C92" w:rsidRPr="004A6E37" w:rsidRDefault="00F60C92" w:rsidP="00187565">
            <w:pPr>
              <w:spacing w:after="200" w:line="360" w:lineRule="auto"/>
              <w:jc w:val="center"/>
              <w:rPr>
                <w:rFonts w:ascii="Times New Roman" w:eastAsiaTheme="minorEastAsia" w:hAnsi="Times New Roman" w:cs="Times New Roman"/>
                <w:b/>
                <w:sz w:val="24"/>
                <w:szCs w:val="24"/>
                <w:lang w:eastAsia="fr-FR"/>
              </w:rPr>
            </w:pPr>
            <w:r w:rsidRPr="004A6E37">
              <w:rPr>
                <w:rFonts w:ascii="Times New Roman" w:hAnsi="Times New Roman" w:cs="Times New Roman"/>
                <w:b/>
                <w:sz w:val="24"/>
                <w:szCs w:val="24"/>
              </w:rPr>
              <w:t>100%</w:t>
            </w:r>
          </w:p>
        </w:tc>
      </w:tr>
    </w:tbl>
    <w:p w14:paraId="547546DE" w14:textId="77777777" w:rsidR="00B62506" w:rsidRPr="004A6E37" w:rsidRDefault="00B62506" w:rsidP="00187565">
      <w:pPr>
        <w:spacing w:line="360" w:lineRule="auto"/>
        <w:rPr>
          <w:rFonts w:ascii="Times New Roman" w:eastAsia="Times New Roman" w:hAnsi="Times New Roman" w:cs="Times New Roman"/>
          <w:b/>
          <w:sz w:val="12"/>
          <w:szCs w:val="24"/>
        </w:rPr>
      </w:pPr>
    </w:p>
    <w:p w14:paraId="322CA61D" w14:textId="77777777" w:rsidR="00B62506" w:rsidRPr="004A6E37" w:rsidRDefault="00B62506" w:rsidP="00920BFE">
      <w:pPr>
        <w:pStyle w:val="Paragraphedeliste"/>
        <w:numPr>
          <w:ilvl w:val="0"/>
          <w:numId w:val="25"/>
        </w:numPr>
        <w:spacing w:line="360" w:lineRule="auto"/>
        <w:outlineLvl w:val="1"/>
        <w:rPr>
          <w:rFonts w:ascii="Times New Roman" w:eastAsia="Times New Roman" w:hAnsi="Times New Roman" w:cs="Times New Roman"/>
          <w:b/>
          <w:sz w:val="24"/>
          <w:szCs w:val="24"/>
        </w:rPr>
      </w:pPr>
      <w:r w:rsidRPr="004A6E37">
        <w:rPr>
          <w:rFonts w:ascii="Times New Roman" w:eastAsia="Times New Roman" w:hAnsi="Times New Roman" w:cs="Times New Roman"/>
          <w:b/>
          <w:sz w:val="24"/>
          <w:szCs w:val="24"/>
        </w:rPr>
        <w:t xml:space="preserve"> </w:t>
      </w:r>
      <w:bookmarkStart w:id="70" w:name="_Toc126251896"/>
      <w:r w:rsidRPr="004A6E37">
        <w:rPr>
          <w:rFonts w:ascii="Times New Roman" w:eastAsia="Times New Roman" w:hAnsi="Times New Roman" w:cs="Times New Roman"/>
          <w:b/>
          <w:sz w:val="24"/>
          <w:szCs w:val="24"/>
        </w:rPr>
        <w:t>FAIBLESSES</w:t>
      </w:r>
      <w:bookmarkEnd w:id="70"/>
    </w:p>
    <w:p w14:paraId="75ED7CD9" w14:textId="77777777" w:rsidR="004D495B" w:rsidRPr="004A6E37" w:rsidRDefault="004D495B" w:rsidP="00920BFE">
      <w:pPr>
        <w:pStyle w:val="Paragraphedeliste"/>
        <w:numPr>
          <w:ilvl w:val="0"/>
          <w:numId w:val="6"/>
        </w:numPr>
        <w:shd w:val="clear" w:color="auto" w:fill="FFFFFF"/>
        <w:spacing w:line="360" w:lineRule="auto"/>
        <w:jc w:val="both"/>
        <w:rPr>
          <w:rFonts w:ascii="Times New Roman" w:eastAsia="Times New Roman" w:hAnsi="Times New Roman" w:cs="Times New Roman"/>
          <w:b/>
          <w:sz w:val="24"/>
          <w:szCs w:val="24"/>
        </w:rPr>
      </w:pPr>
      <w:r w:rsidRPr="004A6E37">
        <w:rPr>
          <w:rFonts w:ascii="Times New Roman" w:eastAsia="Times New Roman" w:hAnsi="Times New Roman" w:cs="Times New Roman"/>
          <w:sz w:val="24"/>
          <w:szCs w:val="24"/>
        </w:rPr>
        <w:t>L’acte uniforme de l’OHADA permet l’utilisation des actions au porteur (article 745 à 746).Tout se passe comme si on est  en possession de somme d’argent. La transmission se fait par la tradition (main en main), pratiquement sans formalisme. Ce qui peut favoriser le BC/FT ;</w:t>
      </w:r>
    </w:p>
    <w:p w14:paraId="32DB9AA0" w14:textId="77777777" w:rsidR="004D495B" w:rsidRPr="004A6E37" w:rsidRDefault="004D495B" w:rsidP="007622A2">
      <w:pPr>
        <w:pStyle w:val="Paragraphedeliste"/>
        <w:shd w:val="clear" w:color="auto" w:fill="FFFFFF"/>
        <w:spacing w:line="360" w:lineRule="auto"/>
        <w:ind w:left="360"/>
        <w:jc w:val="both"/>
        <w:rPr>
          <w:rFonts w:ascii="Times New Roman" w:eastAsia="Times New Roman" w:hAnsi="Times New Roman" w:cs="Times New Roman"/>
          <w:b/>
          <w:sz w:val="12"/>
          <w:szCs w:val="24"/>
        </w:rPr>
      </w:pPr>
      <w:r w:rsidRPr="004A6E37">
        <w:rPr>
          <w:rFonts w:ascii="Times New Roman" w:eastAsia="Times New Roman" w:hAnsi="Times New Roman" w:cs="Times New Roman"/>
          <w:sz w:val="24"/>
          <w:szCs w:val="24"/>
        </w:rPr>
        <w:t xml:space="preserve"> </w:t>
      </w:r>
    </w:p>
    <w:p w14:paraId="2DC7C777" w14:textId="77777777" w:rsidR="004D495B" w:rsidRPr="004A6E37" w:rsidRDefault="00037FB9" w:rsidP="00920BFE">
      <w:pPr>
        <w:pStyle w:val="Paragraphedeliste"/>
        <w:numPr>
          <w:ilvl w:val="0"/>
          <w:numId w:val="6"/>
        </w:num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Il y a un grand risque de BC/FT</w:t>
      </w:r>
      <w:r w:rsidR="004D495B" w:rsidRPr="004A6E37">
        <w:rPr>
          <w:rFonts w:ascii="Times New Roman" w:eastAsia="Times New Roman" w:hAnsi="Times New Roman" w:cs="Times New Roman"/>
          <w:sz w:val="24"/>
          <w:szCs w:val="24"/>
        </w:rPr>
        <w:t xml:space="preserve"> lié aux activités de conseil en matière de création d’entreprise. Le conseil, de par sa mis</w:t>
      </w:r>
      <w:r w:rsidR="007622A2" w:rsidRPr="004A6E37">
        <w:rPr>
          <w:rFonts w:ascii="Times New Roman" w:eastAsia="Times New Roman" w:hAnsi="Times New Roman" w:cs="Times New Roman"/>
          <w:sz w:val="24"/>
          <w:szCs w:val="24"/>
        </w:rPr>
        <w:t>sion d</w:t>
      </w:r>
      <w:r w:rsidR="004D495B" w:rsidRPr="004A6E37">
        <w:rPr>
          <w:rFonts w:ascii="Times New Roman" w:eastAsia="Times New Roman" w:hAnsi="Times New Roman" w:cs="Times New Roman"/>
          <w:sz w:val="24"/>
          <w:szCs w:val="24"/>
        </w:rPr>
        <w:t>e conseiller, est ténu d’expliquer au demandeur les mécanismes et méthodes qui lui permettent d’investir sans être pris par le filet des organi</w:t>
      </w:r>
      <w:r w:rsidRPr="004A6E37">
        <w:rPr>
          <w:rFonts w:ascii="Times New Roman" w:eastAsia="Times New Roman" w:hAnsi="Times New Roman" w:cs="Times New Roman"/>
          <w:sz w:val="24"/>
          <w:szCs w:val="24"/>
        </w:rPr>
        <w:t>smes de lutte contre le BC/F</w:t>
      </w:r>
      <w:r w:rsidR="00E048CE" w:rsidRPr="004A6E37">
        <w:rPr>
          <w:rFonts w:ascii="Times New Roman" w:eastAsia="Times New Roman" w:hAnsi="Times New Roman" w:cs="Times New Roman"/>
          <w:sz w:val="24"/>
          <w:szCs w:val="24"/>
        </w:rPr>
        <w:t>T</w:t>
      </w:r>
      <w:r w:rsidR="00490280" w:rsidRPr="004A6E37">
        <w:rPr>
          <w:rFonts w:ascii="Times New Roman" w:eastAsia="Times New Roman" w:hAnsi="Times New Roman" w:cs="Times New Roman"/>
          <w:sz w:val="24"/>
          <w:szCs w:val="24"/>
        </w:rPr>
        <w:t> ;</w:t>
      </w:r>
    </w:p>
    <w:p w14:paraId="643BE3D0" w14:textId="77777777" w:rsidR="00490280" w:rsidRPr="004A6E37" w:rsidRDefault="00490280" w:rsidP="00490280">
      <w:pPr>
        <w:pStyle w:val="Paragraphedeliste"/>
        <w:rPr>
          <w:rFonts w:ascii="Times New Roman" w:eastAsia="Times New Roman" w:hAnsi="Times New Roman" w:cs="Times New Roman"/>
          <w:sz w:val="12"/>
          <w:szCs w:val="24"/>
        </w:rPr>
      </w:pPr>
    </w:p>
    <w:p w14:paraId="689F9C9E" w14:textId="77777777" w:rsidR="00490280" w:rsidRPr="004A6E37" w:rsidRDefault="00490280" w:rsidP="00920BFE">
      <w:pPr>
        <w:pStyle w:val="Paragraphedeliste"/>
        <w:numPr>
          <w:ilvl w:val="0"/>
          <w:numId w:val="6"/>
        </w:numPr>
        <w:spacing w:after="0" w:line="360" w:lineRule="auto"/>
        <w:jc w:val="both"/>
        <w:rPr>
          <w:rFonts w:ascii="Times New Roman" w:hAnsi="Times New Roman" w:cs="Times New Roman"/>
          <w:sz w:val="24"/>
          <w:szCs w:val="24"/>
        </w:rPr>
      </w:pPr>
      <w:r w:rsidRPr="004A6E37">
        <w:rPr>
          <w:rFonts w:ascii="Times New Roman" w:hAnsi="Times New Roman" w:cs="Times New Roman"/>
          <w:sz w:val="24"/>
          <w:szCs w:val="24"/>
        </w:rPr>
        <w:t xml:space="preserve">Enfin, il convient de souligner que les autorités chargées de la création de personnes morales et de la tenue de registres du commerce et du crédit mobilier, en particulier les notaires et les avocats, ont une faible compréhension du risque BC/FT que courent les personnes morales. </w:t>
      </w:r>
    </w:p>
    <w:p w14:paraId="4E48557B" w14:textId="77777777" w:rsidR="00AA7267" w:rsidRPr="004A6E37" w:rsidRDefault="00777C25" w:rsidP="00920BFE">
      <w:pPr>
        <w:pStyle w:val="Paragraphedeliste"/>
        <w:numPr>
          <w:ilvl w:val="0"/>
          <w:numId w:val="25"/>
        </w:numPr>
        <w:spacing w:line="360" w:lineRule="auto"/>
        <w:outlineLvl w:val="1"/>
        <w:rPr>
          <w:rFonts w:ascii="Times New Roman" w:eastAsia="Times New Roman" w:hAnsi="Times New Roman" w:cs="Times New Roman"/>
          <w:b/>
          <w:sz w:val="24"/>
          <w:szCs w:val="24"/>
        </w:rPr>
      </w:pPr>
      <w:bookmarkStart w:id="71" w:name="_Toc126251897"/>
      <w:r w:rsidRPr="004A6E37">
        <w:rPr>
          <w:rFonts w:ascii="Times New Roman" w:eastAsia="Times New Roman" w:hAnsi="Times New Roman" w:cs="Times New Roman"/>
          <w:b/>
          <w:sz w:val="24"/>
          <w:szCs w:val="24"/>
        </w:rPr>
        <w:t>MESURES D'ATTENUATION</w:t>
      </w:r>
      <w:bookmarkEnd w:id="71"/>
      <w:r w:rsidRPr="004A6E37">
        <w:rPr>
          <w:rFonts w:ascii="Times New Roman" w:eastAsia="Times New Roman" w:hAnsi="Times New Roman" w:cs="Times New Roman"/>
          <w:b/>
          <w:sz w:val="24"/>
          <w:szCs w:val="24"/>
        </w:rPr>
        <w:t xml:space="preserve"> </w:t>
      </w:r>
    </w:p>
    <w:p w14:paraId="480421BB" w14:textId="77777777" w:rsidR="00AA7267" w:rsidRPr="004A6E37" w:rsidRDefault="00AA7267" w:rsidP="007622A2">
      <w:pPr>
        <w:spacing w:line="360" w:lineRule="auto"/>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 xml:space="preserve">Le rôle des notaires dans l’atténuation des </w:t>
      </w:r>
      <w:r w:rsidR="00854914" w:rsidRPr="004A6E37">
        <w:rPr>
          <w:rFonts w:ascii="Times New Roman" w:eastAsia="Times New Roman" w:hAnsi="Times New Roman" w:cs="Times New Roman"/>
          <w:sz w:val="24"/>
          <w:szCs w:val="24"/>
        </w:rPr>
        <w:t>risques de BC/FT se retrouvent :</w:t>
      </w:r>
    </w:p>
    <w:p w14:paraId="618ED8CD" w14:textId="77777777" w:rsidR="00AA7267" w:rsidRPr="004A6E37" w:rsidRDefault="00AA7267" w:rsidP="00920BFE">
      <w:pPr>
        <w:numPr>
          <w:ilvl w:val="0"/>
          <w:numId w:val="6"/>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lors de la création, de la modification du capital, des cessions de titres sociaux, des transactions de grande importance (transac</w:t>
      </w:r>
      <w:r w:rsidR="003476AA" w:rsidRPr="004A6E37">
        <w:rPr>
          <w:rFonts w:ascii="Times New Roman" w:eastAsia="Times New Roman" w:hAnsi="Times New Roman" w:cs="Times New Roman"/>
          <w:sz w:val="24"/>
          <w:szCs w:val="24"/>
        </w:rPr>
        <w:t>tions immobilières par exemple) :</w:t>
      </w:r>
      <w:r w:rsidRPr="004A6E37">
        <w:rPr>
          <w:rFonts w:ascii="Times New Roman" w:eastAsia="Times New Roman" w:hAnsi="Times New Roman" w:cs="Times New Roman"/>
          <w:sz w:val="24"/>
          <w:szCs w:val="24"/>
        </w:rPr>
        <w:t xml:space="preserve"> exiger la bancarisation des opérations ;</w:t>
      </w:r>
    </w:p>
    <w:p w14:paraId="40201075" w14:textId="77777777" w:rsidR="00AA7267" w:rsidRDefault="00AA7267" w:rsidP="00920BFE">
      <w:pPr>
        <w:numPr>
          <w:ilvl w:val="0"/>
          <w:numId w:val="6"/>
        </w:numPr>
        <w:shd w:val="clear" w:color="auto" w:fill="FFFFFF"/>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dans les convention</w:t>
      </w:r>
      <w:r w:rsidR="003476AA" w:rsidRPr="004A6E37">
        <w:rPr>
          <w:rFonts w:ascii="Times New Roman" w:eastAsia="Times New Roman" w:hAnsi="Times New Roman" w:cs="Times New Roman"/>
          <w:sz w:val="24"/>
          <w:szCs w:val="24"/>
        </w:rPr>
        <w:t>s réglementées :</w:t>
      </w:r>
      <w:r w:rsidRPr="004A6E37">
        <w:rPr>
          <w:rFonts w:ascii="Times New Roman" w:eastAsia="Times New Roman" w:hAnsi="Times New Roman" w:cs="Times New Roman"/>
          <w:sz w:val="24"/>
          <w:szCs w:val="24"/>
        </w:rPr>
        <w:t xml:space="preserve"> faire observer par les associés et les dirigeants sociaux toutes les règles édictées par la loi ou les statuts de la société, voire par les pactes d’associés. </w:t>
      </w:r>
    </w:p>
    <w:p w14:paraId="29242622" w14:textId="77777777" w:rsidR="00684B6E" w:rsidRPr="004A6E37" w:rsidRDefault="00684B6E" w:rsidP="00684B6E">
      <w:pPr>
        <w:shd w:val="clear" w:color="auto" w:fill="FFFFFF"/>
        <w:spacing w:line="360" w:lineRule="auto"/>
        <w:ind w:left="360"/>
        <w:jc w:val="both"/>
        <w:rPr>
          <w:rFonts w:ascii="Times New Roman" w:eastAsia="Times New Roman" w:hAnsi="Times New Roman" w:cs="Times New Roman"/>
          <w:sz w:val="24"/>
          <w:szCs w:val="24"/>
        </w:rPr>
      </w:pPr>
    </w:p>
    <w:p w14:paraId="6AD7A0B8" w14:textId="77777777" w:rsidR="00C06776" w:rsidRPr="004A6E37" w:rsidRDefault="00C06776" w:rsidP="00920BFE">
      <w:pPr>
        <w:pStyle w:val="Paragraphedeliste"/>
        <w:numPr>
          <w:ilvl w:val="0"/>
          <w:numId w:val="25"/>
        </w:numPr>
        <w:shd w:val="clear" w:color="auto" w:fill="FFFFFF"/>
        <w:spacing w:line="360" w:lineRule="auto"/>
        <w:jc w:val="both"/>
        <w:outlineLvl w:val="1"/>
        <w:rPr>
          <w:rFonts w:ascii="Times New Roman" w:eastAsia="Times New Roman" w:hAnsi="Times New Roman" w:cs="Times New Roman"/>
          <w:b/>
          <w:sz w:val="24"/>
          <w:szCs w:val="24"/>
        </w:rPr>
      </w:pPr>
      <w:bookmarkStart w:id="72" w:name="_Toc126251898"/>
      <w:r w:rsidRPr="004A6E37">
        <w:rPr>
          <w:rFonts w:ascii="Times New Roman" w:eastAsia="Times New Roman" w:hAnsi="Times New Roman" w:cs="Times New Roman"/>
          <w:b/>
          <w:sz w:val="24"/>
          <w:szCs w:val="24"/>
        </w:rPr>
        <w:t>PLAN D’ACTION</w:t>
      </w:r>
      <w:bookmarkEnd w:id="72"/>
    </w:p>
    <w:p w14:paraId="6D3D9FC9" w14:textId="77777777" w:rsidR="009B7F30" w:rsidRPr="004A6E37" w:rsidRDefault="002E2BE8" w:rsidP="001F564C">
      <w:pPr>
        <w:pStyle w:val="Titre1"/>
        <w:numPr>
          <w:ilvl w:val="0"/>
          <w:numId w:val="0"/>
        </w:numPr>
        <w:ind w:left="432"/>
        <w:rPr>
          <w:rFonts w:ascii="Times New Roman" w:eastAsia="Times New Roman" w:hAnsi="Times New Roman" w:cs="Times New Roman"/>
          <w:b/>
          <w:color w:val="auto"/>
          <w:sz w:val="24"/>
          <w:szCs w:val="24"/>
        </w:rPr>
      </w:pPr>
      <w:bookmarkStart w:id="73" w:name="_Toc126251899"/>
      <w:r w:rsidRPr="004A6E37">
        <w:rPr>
          <w:rFonts w:ascii="Times New Roman" w:eastAsia="Times New Roman" w:hAnsi="Times New Roman" w:cs="Times New Roman"/>
          <w:b/>
          <w:color w:val="auto"/>
          <w:sz w:val="24"/>
          <w:szCs w:val="24"/>
        </w:rPr>
        <w:t>Conclusion</w:t>
      </w:r>
      <w:bookmarkEnd w:id="73"/>
      <w:r w:rsidRPr="004A6E37">
        <w:rPr>
          <w:rFonts w:ascii="Times New Roman" w:eastAsia="Times New Roman" w:hAnsi="Times New Roman" w:cs="Times New Roman"/>
          <w:b/>
          <w:color w:val="auto"/>
          <w:sz w:val="24"/>
          <w:szCs w:val="24"/>
        </w:rPr>
        <w:t xml:space="preserve"> </w:t>
      </w:r>
    </w:p>
    <w:p w14:paraId="7027E66A" w14:textId="77777777" w:rsidR="00B44EFE" w:rsidRPr="004A6E37" w:rsidRDefault="00B44EFE" w:rsidP="007622A2">
      <w:pPr>
        <w:spacing w:line="360" w:lineRule="auto"/>
        <w:jc w:val="both"/>
        <w:rPr>
          <w:rFonts w:ascii="Times New Roman" w:eastAsia="Times New Roman" w:hAnsi="Times New Roman" w:cs="Times New Roman"/>
          <w:sz w:val="24"/>
          <w:szCs w:val="24"/>
        </w:rPr>
      </w:pPr>
      <w:r w:rsidRPr="004A6E37">
        <w:rPr>
          <w:rFonts w:ascii="Times New Roman" w:eastAsia="Times New Roman" w:hAnsi="Times New Roman" w:cs="Times New Roman"/>
          <w:sz w:val="24"/>
          <w:szCs w:val="24"/>
        </w:rPr>
        <w:t>Le</w:t>
      </w:r>
      <w:r w:rsidR="009B3EA9" w:rsidRPr="004A6E37">
        <w:rPr>
          <w:rFonts w:ascii="Times New Roman" w:eastAsia="Times New Roman" w:hAnsi="Times New Roman" w:cs="Times New Roman"/>
          <w:sz w:val="24"/>
          <w:szCs w:val="24"/>
        </w:rPr>
        <w:t>s</w:t>
      </w:r>
      <w:r w:rsidRPr="004A6E37">
        <w:rPr>
          <w:rFonts w:ascii="Times New Roman" w:eastAsia="Times New Roman" w:hAnsi="Times New Roman" w:cs="Times New Roman"/>
          <w:sz w:val="24"/>
          <w:szCs w:val="24"/>
        </w:rPr>
        <w:t xml:space="preserve"> résultat</w:t>
      </w:r>
      <w:r w:rsidR="009B3EA9" w:rsidRPr="004A6E37">
        <w:rPr>
          <w:rFonts w:ascii="Times New Roman" w:eastAsia="Times New Roman" w:hAnsi="Times New Roman" w:cs="Times New Roman"/>
          <w:sz w:val="24"/>
          <w:szCs w:val="24"/>
        </w:rPr>
        <w:t>s</w:t>
      </w:r>
      <w:r w:rsidRPr="004A6E37">
        <w:rPr>
          <w:rFonts w:ascii="Times New Roman" w:eastAsia="Times New Roman" w:hAnsi="Times New Roman" w:cs="Times New Roman"/>
          <w:sz w:val="24"/>
          <w:szCs w:val="24"/>
        </w:rPr>
        <w:t xml:space="preserve"> des travaux déjà </w:t>
      </w:r>
      <w:r w:rsidR="009B3EA9" w:rsidRPr="004A6E37">
        <w:rPr>
          <w:rFonts w:ascii="Times New Roman" w:eastAsia="Times New Roman" w:hAnsi="Times New Roman" w:cs="Times New Roman"/>
          <w:sz w:val="24"/>
          <w:szCs w:val="24"/>
        </w:rPr>
        <w:t>menés au Mali ont</w:t>
      </w:r>
      <w:r w:rsidRPr="004A6E37">
        <w:rPr>
          <w:rFonts w:ascii="Times New Roman" w:eastAsia="Times New Roman" w:hAnsi="Times New Roman" w:cs="Times New Roman"/>
          <w:sz w:val="24"/>
          <w:szCs w:val="24"/>
        </w:rPr>
        <w:t xml:space="preserve"> été consolidé</w:t>
      </w:r>
      <w:r w:rsidR="009B3EA9" w:rsidRPr="004A6E37">
        <w:rPr>
          <w:rFonts w:ascii="Times New Roman" w:eastAsia="Times New Roman" w:hAnsi="Times New Roman" w:cs="Times New Roman"/>
          <w:sz w:val="24"/>
          <w:szCs w:val="24"/>
        </w:rPr>
        <w:t>s</w:t>
      </w:r>
      <w:r w:rsidRPr="004A6E37">
        <w:rPr>
          <w:rFonts w:ascii="Times New Roman" w:eastAsia="Times New Roman" w:hAnsi="Times New Roman" w:cs="Times New Roman"/>
          <w:sz w:val="24"/>
          <w:szCs w:val="24"/>
        </w:rPr>
        <w:t xml:space="preserve"> afin d’identifier de façon détaillée les menaces, d’une part, et les vulnérabilit</w:t>
      </w:r>
      <w:r w:rsidR="000B0ACB" w:rsidRPr="004A6E37">
        <w:rPr>
          <w:rFonts w:ascii="Times New Roman" w:eastAsia="Times New Roman" w:hAnsi="Times New Roman" w:cs="Times New Roman"/>
          <w:sz w:val="24"/>
          <w:szCs w:val="24"/>
        </w:rPr>
        <w:t>és, d’autre part, auxquelles fai</w:t>
      </w:r>
      <w:r w:rsidRPr="004A6E37">
        <w:rPr>
          <w:rFonts w:ascii="Times New Roman" w:eastAsia="Times New Roman" w:hAnsi="Times New Roman" w:cs="Times New Roman"/>
          <w:sz w:val="24"/>
          <w:szCs w:val="24"/>
        </w:rPr>
        <w:t>t face le système économique malien dans un secteur bien déterminé, avec un degré d’analyse extrêmement précis. Cette consolidation a pu être réalisée par le biais de nombreuses interviews. Ces travaux ont ensuite été synthétisés par le groupe de travail, en vue</w:t>
      </w:r>
      <w:r w:rsidR="0039667B" w:rsidRPr="004A6E37">
        <w:rPr>
          <w:rFonts w:ascii="Times New Roman" w:eastAsia="Times New Roman" w:hAnsi="Times New Roman" w:cs="Times New Roman"/>
          <w:sz w:val="24"/>
          <w:szCs w:val="24"/>
        </w:rPr>
        <w:t xml:space="preserve"> de</w:t>
      </w:r>
      <w:r w:rsidRPr="004A6E37">
        <w:rPr>
          <w:rFonts w:ascii="Times New Roman" w:eastAsia="Times New Roman" w:hAnsi="Times New Roman" w:cs="Times New Roman"/>
          <w:sz w:val="24"/>
          <w:szCs w:val="24"/>
        </w:rPr>
        <w:t xml:space="preserve"> réaliser la présente étude et d’offrir une vision globale et hiérarchisée des risques de BC/FT, tenant compte des niveaux de menaces et </w:t>
      </w:r>
      <w:r w:rsidR="002F3998" w:rsidRPr="004A6E37">
        <w:rPr>
          <w:rFonts w:ascii="Times New Roman" w:eastAsia="Times New Roman" w:hAnsi="Times New Roman" w:cs="Times New Roman"/>
          <w:sz w:val="24"/>
          <w:szCs w:val="24"/>
        </w:rPr>
        <w:t xml:space="preserve">de </w:t>
      </w:r>
      <w:r w:rsidRPr="004A6E37">
        <w:rPr>
          <w:rFonts w:ascii="Times New Roman" w:eastAsia="Times New Roman" w:hAnsi="Times New Roman" w:cs="Times New Roman"/>
          <w:sz w:val="24"/>
          <w:szCs w:val="24"/>
        </w:rPr>
        <w:t>vulnérabilités, ainsi que des mesures d’atténuation associées. Cela permet d’améliorer encore l’adéquation du régime malien de LCB/FT à ces risques. Les services et opérations analysés ont ainsi été regroupés au sein du secteur de risque, en fonction de critères objectifs de regroupement et d’harmonisation des cotations. Ceci a permis d’une part d’harmoniser le niveau de détail retenu et d’autre part d’offrir une vision synthétique des risques auxquels l’économie malienne doit faire face et de présenter la manière dont elle entend les maîtriser.</w:t>
      </w:r>
    </w:p>
    <w:p w14:paraId="45BF6F36" w14:textId="77777777" w:rsidR="00B44EFE" w:rsidRPr="007A145D" w:rsidRDefault="00B44EFE" w:rsidP="007622A2">
      <w:pPr>
        <w:spacing w:line="360" w:lineRule="auto"/>
        <w:ind w:left="360"/>
        <w:rPr>
          <w:rFonts w:ascii="Times New Roman" w:hAnsi="Times New Roman" w:cs="Times New Roman"/>
          <w:b/>
          <w:sz w:val="24"/>
          <w:szCs w:val="24"/>
        </w:rPr>
      </w:pPr>
    </w:p>
    <w:p w14:paraId="5C1A4A73" w14:textId="77777777" w:rsidR="0039667B" w:rsidRPr="007A145D" w:rsidRDefault="0039667B" w:rsidP="007622A2">
      <w:pPr>
        <w:spacing w:line="360" w:lineRule="auto"/>
        <w:ind w:left="360"/>
        <w:rPr>
          <w:rFonts w:ascii="Times New Roman" w:hAnsi="Times New Roman" w:cs="Times New Roman"/>
          <w:b/>
          <w:sz w:val="24"/>
          <w:szCs w:val="24"/>
        </w:rPr>
      </w:pPr>
    </w:p>
    <w:p w14:paraId="77A703D4" w14:textId="77777777" w:rsidR="00D47196" w:rsidRPr="007A145D" w:rsidRDefault="00D47196">
      <w:pPr>
        <w:spacing w:after="0" w:line="240" w:lineRule="auto"/>
        <w:rPr>
          <w:rFonts w:ascii="Times New Roman" w:hAnsi="Times New Roman" w:cs="Times New Roman"/>
          <w:sz w:val="24"/>
          <w:szCs w:val="24"/>
        </w:rPr>
      </w:pPr>
    </w:p>
    <w:p w14:paraId="5D4AC4FD" w14:textId="77777777" w:rsidR="00294246" w:rsidRPr="007A145D" w:rsidRDefault="00294246">
      <w:pPr>
        <w:spacing w:after="0" w:line="240" w:lineRule="auto"/>
        <w:rPr>
          <w:rFonts w:ascii="Times New Roman" w:hAnsi="Times New Roman" w:cs="Times New Roman"/>
          <w:b/>
          <w:color w:val="FF0000"/>
          <w:sz w:val="30"/>
          <w:szCs w:val="30"/>
        </w:rPr>
      </w:pPr>
      <w:r w:rsidRPr="007A145D">
        <w:rPr>
          <w:rFonts w:ascii="Times New Roman" w:hAnsi="Times New Roman" w:cs="Times New Roman"/>
          <w:b/>
          <w:color w:val="FF0000"/>
          <w:sz w:val="30"/>
          <w:szCs w:val="30"/>
        </w:rPr>
        <w:br w:type="page"/>
      </w:r>
    </w:p>
    <w:p w14:paraId="18740A2F" w14:textId="77777777" w:rsidR="009B7F30" w:rsidRPr="007A145D" w:rsidRDefault="002E2BE8" w:rsidP="007622A2">
      <w:pPr>
        <w:spacing w:line="360" w:lineRule="auto"/>
        <w:ind w:left="360"/>
        <w:rPr>
          <w:rFonts w:ascii="Times New Roman" w:hAnsi="Times New Roman" w:cs="Times New Roman"/>
          <w:b/>
          <w:color w:val="FF0000"/>
          <w:sz w:val="30"/>
          <w:szCs w:val="30"/>
        </w:rPr>
      </w:pPr>
      <w:r w:rsidRPr="007A145D">
        <w:rPr>
          <w:rFonts w:ascii="Times New Roman" w:hAnsi="Times New Roman" w:cs="Times New Roman"/>
          <w:b/>
          <w:color w:val="FF0000"/>
          <w:sz w:val="30"/>
          <w:szCs w:val="30"/>
        </w:rPr>
        <w:lastRenderedPageBreak/>
        <w:t>Annexe A.   Acronymes</w:t>
      </w:r>
    </w:p>
    <w:p w14:paraId="36B7729C" w14:textId="77777777" w:rsidR="009B7F30" w:rsidRPr="007A145D" w:rsidRDefault="002E2BE8" w:rsidP="007622A2">
      <w:pPr>
        <w:spacing w:line="360" w:lineRule="auto"/>
        <w:ind w:left="360"/>
        <w:rPr>
          <w:rFonts w:ascii="Times New Roman" w:hAnsi="Times New Roman" w:cs="Times New Roman"/>
          <w:b/>
          <w:color w:val="FF0000"/>
          <w:sz w:val="30"/>
          <w:szCs w:val="30"/>
        </w:rPr>
      </w:pPr>
      <w:r w:rsidRPr="007A145D">
        <w:rPr>
          <w:rFonts w:ascii="Times New Roman" w:hAnsi="Times New Roman" w:cs="Times New Roman"/>
          <w:b/>
          <w:color w:val="FF0000"/>
          <w:sz w:val="30"/>
          <w:szCs w:val="30"/>
        </w:rPr>
        <w:t>Annexe B. Liste des tableaux.</w:t>
      </w:r>
    </w:p>
    <w:p w14:paraId="36B493BA" w14:textId="77777777" w:rsidR="00F2673C" w:rsidRPr="007A145D" w:rsidRDefault="00F2673C" w:rsidP="007622A2">
      <w:pPr>
        <w:spacing w:line="360" w:lineRule="auto"/>
        <w:ind w:left="360"/>
        <w:rPr>
          <w:rFonts w:ascii="Times New Roman" w:hAnsi="Times New Roman" w:cs="Times New Roman"/>
          <w:b/>
          <w:color w:val="FF0000"/>
          <w:sz w:val="30"/>
          <w:szCs w:val="30"/>
        </w:rPr>
      </w:pPr>
      <w:r w:rsidRPr="007A145D">
        <w:rPr>
          <w:rFonts w:ascii="Times New Roman" w:hAnsi="Times New Roman" w:cs="Times New Roman"/>
          <w:b/>
          <w:color w:val="FF0000"/>
          <w:sz w:val="30"/>
          <w:szCs w:val="30"/>
        </w:rPr>
        <w:t>Annexe C. Questionnaires</w:t>
      </w:r>
    </w:p>
    <w:p w14:paraId="4894243B" w14:textId="77777777" w:rsidR="009B7F30" w:rsidRPr="007A145D" w:rsidRDefault="009B7F30" w:rsidP="007622A2">
      <w:pPr>
        <w:spacing w:line="360" w:lineRule="auto"/>
      </w:pPr>
    </w:p>
    <w:sectPr w:rsidR="009B7F30" w:rsidRPr="007A145D" w:rsidSect="00442E81">
      <w:footerReference w:type="default" r:id="rId12"/>
      <w:pgSz w:w="11906" w:h="16838"/>
      <w:pgMar w:top="1417" w:right="1133"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081B" w14:textId="77777777" w:rsidR="001F7E38" w:rsidRDefault="001F7E38">
      <w:pPr>
        <w:spacing w:line="240" w:lineRule="auto"/>
      </w:pPr>
      <w:r>
        <w:separator/>
      </w:r>
    </w:p>
  </w:endnote>
  <w:endnote w:type="continuationSeparator" w:id="0">
    <w:p w14:paraId="4BF0C021" w14:textId="77777777" w:rsidR="001F7E38" w:rsidRDefault="001F7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Condensed Extra Bold">
    <w:panose1 w:val="020B0803020202020204"/>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65886"/>
      <w:docPartObj>
        <w:docPartGallery w:val="Page Numbers (Bottom of Page)"/>
        <w:docPartUnique/>
      </w:docPartObj>
    </w:sdtPr>
    <w:sdtContent>
      <w:p w14:paraId="39CD2663" w14:textId="77777777" w:rsidR="00382CFA" w:rsidRDefault="00382CFA">
        <w:pPr>
          <w:pStyle w:val="Pieddepage"/>
          <w:jc w:val="right"/>
        </w:pPr>
        <w:r>
          <w:fldChar w:fldCharType="begin"/>
        </w:r>
        <w:r>
          <w:instrText>PAGE   \* MERGEFORMAT</w:instrText>
        </w:r>
        <w:r>
          <w:fldChar w:fldCharType="separate"/>
        </w:r>
        <w:r w:rsidR="007A7E4F">
          <w:rPr>
            <w:noProof/>
          </w:rPr>
          <w:t>50</w:t>
        </w:r>
        <w:r>
          <w:fldChar w:fldCharType="end"/>
        </w:r>
      </w:p>
    </w:sdtContent>
  </w:sdt>
  <w:p w14:paraId="0E4672B8" w14:textId="77777777" w:rsidR="00382CFA" w:rsidRDefault="00382C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CD30" w14:textId="77777777" w:rsidR="001F7E38" w:rsidRDefault="001F7E38">
      <w:pPr>
        <w:spacing w:after="0"/>
      </w:pPr>
      <w:r>
        <w:separator/>
      </w:r>
    </w:p>
  </w:footnote>
  <w:footnote w:type="continuationSeparator" w:id="0">
    <w:p w14:paraId="78773BB7" w14:textId="77777777" w:rsidR="001F7E38" w:rsidRDefault="001F7E38">
      <w:pPr>
        <w:spacing w:after="0"/>
      </w:pPr>
      <w:r>
        <w:continuationSeparator/>
      </w:r>
    </w:p>
  </w:footnote>
  <w:footnote w:id="1">
    <w:p w14:paraId="2082429E" w14:textId="77777777" w:rsidR="00382CFA" w:rsidRDefault="00382CFA">
      <w:pPr>
        <w:pStyle w:val="Notedebasdepage"/>
        <w:spacing w:line="276" w:lineRule="auto"/>
        <w:rPr>
          <w:rFonts w:ascii="Times New Roman" w:hAnsi="Times New Roman"/>
          <w:sz w:val="18"/>
          <w:szCs w:val="18"/>
        </w:rPr>
      </w:pPr>
      <w:r>
        <w:rPr>
          <w:rStyle w:val="Appelnotedebasdep"/>
          <w:rFonts w:ascii="Times New Roman" w:hAnsi="Times New Roman"/>
          <w:sz w:val="18"/>
          <w:szCs w:val="18"/>
        </w:rPr>
        <w:footnoteRef/>
      </w:r>
      <w:r>
        <w:rPr>
          <w:rFonts w:ascii="Times New Roman" w:hAnsi="Times New Roman"/>
          <w:sz w:val="18"/>
          <w:szCs w:val="18"/>
        </w:rPr>
        <w:t xml:space="preserve"> Selon M. DELMAS-MARTY, la politique criminelle comprend « l’ensemble des procédés par lesquels le corps social organise les réponses au phénomène criminel ».</w:t>
      </w:r>
    </w:p>
  </w:footnote>
  <w:footnote w:id="2">
    <w:p w14:paraId="40426344" w14:textId="77777777" w:rsidR="00382CFA" w:rsidRDefault="00382CFA">
      <w:pPr>
        <w:pStyle w:val="Notedebasdepage"/>
        <w:spacing w:line="276" w:lineRule="auto"/>
        <w:rPr>
          <w:rFonts w:ascii="Times New Roman" w:hAnsi="Times New Roman"/>
          <w:sz w:val="18"/>
          <w:szCs w:val="18"/>
        </w:rPr>
      </w:pPr>
      <w:r>
        <w:rPr>
          <w:rStyle w:val="Appelnotedebasdep"/>
          <w:rFonts w:ascii="Times New Roman" w:hAnsi="Times New Roman"/>
          <w:sz w:val="18"/>
          <w:szCs w:val="18"/>
        </w:rPr>
        <w:footnoteRef/>
      </w:r>
      <w:r>
        <w:rPr>
          <w:rFonts w:ascii="Times New Roman" w:hAnsi="Times New Roman"/>
          <w:sz w:val="18"/>
          <w:szCs w:val="18"/>
        </w:rPr>
        <w:t xml:space="preserve"> M. DELMAS-MARTY, Modèles et mouvements de politique criminelle, Paris, </w:t>
      </w:r>
      <w:r>
        <w:rPr>
          <w:rFonts w:ascii="Times New Roman" w:hAnsi="Times New Roman"/>
          <w:sz w:val="18"/>
          <w:szCs w:val="18"/>
        </w:rPr>
        <w:t>Economica, 1983, p. 41.</w:t>
      </w:r>
    </w:p>
  </w:footnote>
  <w:footnote w:id="3">
    <w:p w14:paraId="4DE70690" w14:textId="77777777" w:rsidR="00382CFA" w:rsidRDefault="00382CFA">
      <w:pPr>
        <w:spacing w:line="276" w:lineRule="auto"/>
        <w:jc w:val="both"/>
        <w:rPr>
          <w:rFonts w:ascii="Times New Roman" w:hAnsi="Times New Roman" w:cs="Times New Roman"/>
          <w:sz w:val="18"/>
          <w:szCs w:val="18"/>
        </w:rPr>
      </w:pPr>
      <w:r>
        <w:rPr>
          <w:rStyle w:val="Appelnotedebasdep"/>
          <w:rFonts w:ascii="Times New Roman" w:hAnsi="Times New Roman"/>
          <w:sz w:val="18"/>
          <w:szCs w:val="18"/>
        </w:rPr>
        <w:footnoteRef/>
      </w:r>
      <w:r>
        <w:rPr>
          <w:rFonts w:ascii="Times New Roman" w:hAnsi="Times New Roman" w:cs="Times New Roman"/>
          <w:sz w:val="18"/>
          <w:szCs w:val="18"/>
        </w:rPr>
        <w:t xml:space="preserve"> C’est une institution spécialisée de la CEDEAO et membre du GAFI. Cette institution est chargée du renforcement des capacités de prévention et de LBC/FT des Etats membres. </w:t>
      </w:r>
    </w:p>
    <w:p w14:paraId="32F39A81" w14:textId="77777777" w:rsidR="00382CFA" w:rsidRDefault="00382CFA">
      <w:pPr>
        <w:pStyle w:val="Notedebasdepage"/>
      </w:pPr>
    </w:p>
  </w:footnote>
  <w:footnote w:id="4">
    <w:p w14:paraId="467B18AF" w14:textId="77777777" w:rsidR="00382CFA" w:rsidRDefault="00382CFA">
      <w:pPr>
        <w:pStyle w:val="Notedebasdepage"/>
        <w:jc w:val="both"/>
      </w:pPr>
      <w:r>
        <w:rPr>
          <w:rStyle w:val="Appelnotedebasdep"/>
        </w:rPr>
        <w:footnoteRef/>
      </w:r>
      <w:r>
        <w:t xml:space="preserve"> </w:t>
      </w:r>
      <w:r>
        <w:rPr>
          <w:rFonts w:ascii="Times New Roman" w:hAnsi="Times New Roman"/>
          <w:sz w:val="18"/>
          <w:szCs w:val="18"/>
        </w:rPr>
        <w:t>Il s’agit notamment de la dénomination sociale ou de la raison sociale, de l’acronyme ou du logo ; de la description de l’activité ou des activités à mener; de la forme de la personne morale, du montant du capital social avec une indication du montant des contributions en nature, de l’adresse du siège social et, le cas échéant, de l’adresse du principal établissement et de celle de chaque autre établissement ; des noms, prénoms et adresses des associés indéfiniment responsables des dettes de la société, en précisant leur date et lieu de naissance, leur nationalité, la date et le lieu du mariage, la nature de l’acte de mariage adopté et toute disposition opposable aux tiers limitant la libre disposition des biens des époux ou l’absence de telles dispositions, ainsi que toute requête en séparation de biens.</w:t>
      </w:r>
      <w:r>
        <w:t xml:space="preserve"> </w:t>
      </w:r>
      <w:r>
        <w:rPr>
          <w:rFonts w:ascii="Times New Roman" w:hAnsi="Times New Roman"/>
          <w:sz w:val="18"/>
          <w:szCs w:val="18"/>
        </w:rPr>
        <w:t>les noms, prénoms, la date et le lieu de naissance et l’adresse des gérants, administrateurs ou associés ayant le pouvoir général d’engager la société ou la personne morale ainsi que les noms, prénoms, date et lieu de naissance et domicile des commissaires aux comptes. Toutes les informations pertinentes recueillies lors de la création sont transmises au greffier en chef du tribunal de commerce qui est chargé de les inscrire au registre du commerce et d’en assurer la conservation. Bien que les informations ci-dessus exigées par la Loi uniforme de l’OHADA soient relativement vastes, il ne suffit pas d’obtenir des informations sur la propriété effective.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3EE"/>
    <w:multiLevelType w:val="hybridMultilevel"/>
    <w:tmpl w:val="7BB676CE"/>
    <w:lvl w:ilvl="0" w:tplc="D1AC54D6">
      <w:start w:val="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D1D0B"/>
    <w:multiLevelType w:val="hybridMultilevel"/>
    <w:tmpl w:val="CAA804C4"/>
    <w:lvl w:ilvl="0" w:tplc="D1AC54D6">
      <w:start w:val="1"/>
      <w:numFmt w:val="bullet"/>
      <w:lvlText w:val="-"/>
      <w:lvlJc w:val="left"/>
      <w:pPr>
        <w:ind w:left="782" w:hanging="360"/>
      </w:pPr>
      <w:rPr>
        <w:rFonts w:ascii="Helvetica" w:eastAsia="Times New Roman" w:hAnsi="Helvetica" w:cs="Times New Roman"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2" w15:restartNumberingAfterBreak="0">
    <w:nsid w:val="06482827"/>
    <w:multiLevelType w:val="hybridMultilevel"/>
    <w:tmpl w:val="31701868"/>
    <w:lvl w:ilvl="0" w:tplc="D1AC54D6">
      <w:start w:val="1"/>
      <w:numFmt w:val="bullet"/>
      <w:lvlText w:val="-"/>
      <w:lvlJc w:val="left"/>
      <w:pPr>
        <w:ind w:left="1440" w:hanging="360"/>
      </w:pPr>
      <w:rPr>
        <w:rFonts w:ascii="Helvetica" w:eastAsia="Times New Roman" w:hAnsi="Helvetic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54068D"/>
    <w:multiLevelType w:val="hybridMultilevel"/>
    <w:tmpl w:val="C706B7DC"/>
    <w:lvl w:ilvl="0" w:tplc="0C0C0003">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06BF7637"/>
    <w:multiLevelType w:val="multilevel"/>
    <w:tmpl w:val="06BF7637"/>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9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423E4F"/>
    <w:multiLevelType w:val="multilevel"/>
    <w:tmpl w:val="0D423E4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D6F0B9F"/>
    <w:multiLevelType w:val="multilevel"/>
    <w:tmpl w:val="0D6F0B9F"/>
    <w:lvl w:ilvl="0">
      <w:start w:val="2"/>
      <w:numFmt w:val="bullet"/>
      <w:lvlText w:val="-"/>
      <w:lvlJc w:val="left"/>
      <w:pPr>
        <w:ind w:left="1080" w:hanging="360"/>
      </w:pPr>
      <w:rPr>
        <w:rFonts w:ascii="Arial Nova" w:eastAsiaTheme="minorHAnsi" w:hAnsi="Arial Nova"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D761B2B"/>
    <w:multiLevelType w:val="hybridMultilevel"/>
    <w:tmpl w:val="113A4CB4"/>
    <w:lvl w:ilvl="0" w:tplc="D1AC54D6">
      <w:start w:val="1"/>
      <w:numFmt w:val="bullet"/>
      <w:lvlText w:val="-"/>
      <w:lvlJc w:val="left"/>
      <w:pPr>
        <w:ind w:left="1080" w:hanging="360"/>
      </w:pPr>
      <w:rPr>
        <w:rFonts w:ascii="Helvetica" w:eastAsia="Times New Roman" w:hAnsi="Helvetic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F670EED"/>
    <w:multiLevelType w:val="multilevel"/>
    <w:tmpl w:val="0F670EED"/>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0972ABB"/>
    <w:multiLevelType w:val="multilevel"/>
    <w:tmpl w:val="10972ABB"/>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423227"/>
    <w:multiLevelType w:val="hybridMultilevel"/>
    <w:tmpl w:val="6784D074"/>
    <w:lvl w:ilvl="0" w:tplc="D1AC54D6">
      <w:start w:val="1"/>
      <w:numFmt w:val="bullet"/>
      <w:lvlText w:val="-"/>
      <w:lvlJc w:val="left"/>
      <w:pPr>
        <w:ind w:left="1440" w:hanging="360"/>
      </w:pPr>
      <w:rPr>
        <w:rFonts w:ascii="Helvetica" w:eastAsia="Times New Roman" w:hAnsi="Helvetic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A740D6B"/>
    <w:multiLevelType w:val="multilevel"/>
    <w:tmpl w:val="1A740D6B"/>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26DED"/>
    <w:multiLevelType w:val="hybridMultilevel"/>
    <w:tmpl w:val="CC382DCE"/>
    <w:lvl w:ilvl="0" w:tplc="0C0C0009">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0ED4AC1"/>
    <w:multiLevelType w:val="hybridMultilevel"/>
    <w:tmpl w:val="3C9CB28C"/>
    <w:lvl w:ilvl="0" w:tplc="D1AC54D6">
      <w:start w:val="1"/>
      <w:numFmt w:val="bullet"/>
      <w:lvlText w:val="-"/>
      <w:lvlJc w:val="left"/>
      <w:pPr>
        <w:ind w:left="1080" w:hanging="360"/>
      </w:pPr>
      <w:rPr>
        <w:rFonts w:ascii="Helvetica" w:eastAsia="Times New Roman" w:hAnsi="Helvetic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015B9E"/>
    <w:multiLevelType w:val="hybridMultilevel"/>
    <w:tmpl w:val="8056EDC2"/>
    <w:lvl w:ilvl="0" w:tplc="5BB4748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5C65725"/>
    <w:multiLevelType w:val="multilevel"/>
    <w:tmpl w:val="25C65725"/>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5F40E7"/>
    <w:multiLevelType w:val="hybridMultilevel"/>
    <w:tmpl w:val="5E8C8A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057014"/>
    <w:multiLevelType w:val="multilevel"/>
    <w:tmpl w:val="FD2E853E"/>
    <w:lvl w:ilvl="0">
      <w:start w:val="1"/>
      <w:numFmt w:val="bullet"/>
      <w:lvlText w:val="-"/>
      <w:lvlJc w:val="left"/>
      <w:pPr>
        <w:ind w:left="360" w:hanging="360"/>
      </w:pPr>
      <w:rPr>
        <w:rFonts w:ascii="Helvetica" w:eastAsia="Times New Roman" w:hAnsi="Helvetic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D83881"/>
    <w:multiLevelType w:val="hybridMultilevel"/>
    <w:tmpl w:val="D77EB2DC"/>
    <w:lvl w:ilvl="0" w:tplc="D1AC54D6">
      <w:start w:val="1"/>
      <w:numFmt w:val="bullet"/>
      <w:lvlText w:val="-"/>
      <w:lvlJc w:val="left"/>
      <w:pPr>
        <w:ind w:left="720" w:hanging="360"/>
      </w:pPr>
      <w:rPr>
        <w:rFonts w:ascii="Helvetica" w:eastAsia="Times New Roman" w:hAnsi="Helvetica"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3F043F"/>
    <w:multiLevelType w:val="hybridMultilevel"/>
    <w:tmpl w:val="1048FB8A"/>
    <w:lvl w:ilvl="0" w:tplc="D1AC54D6">
      <w:start w:val="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422CAC"/>
    <w:multiLevelType w:val="hybridMultilevel"/>
    <w:tmpl w:val="D9D68922"/>
    <w:lvl w:ilvl="0" w:tplc="D1AC54D6">
      <w:start w:val="1"/>
      <w:numFmt w:val="bullet"/>
      <w:lvlText w:val="-"/>
      <w:lvlJc w:val="left"/>
      <w:pPr>
        <w:ind w:left="780" w:hanging="360"/>
      </w:pPr>
      <w:rPr>
        <w:rFonts w:ascii="Helvetica" w:eastAsia="Times New Roman" w:hAnsi="Helvetica"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1" w15:restartNumberingAfterBreak="0">
    <w:nsid w:val="44052622"/>
    <w:multiLevelType w:val="multilevel"/>
    <w:tmpl w:val="2D72D47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A0265C2"/>
    <w:multiLevelType w:val="multilevel"/>
    <w:tmpl w:val="8B3266B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DA62072"/>
    <w:multiLevelType w:val="multilevel"/>
    <w:tmpl w:val="4DA620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7A03B0"/>
    <w:multiLevelType w:val="hybridMultilevel"/>
    <w:tmpl w:val="2F7C206C"/>
    <w:lvl w:ilvl="0" w:tplc="D1AC54D6">
      <w:start w:val="1"/>
      <w:numFmt w:val="bullet"/>
      <w:lvlText w:val="-"/>
      <w:lvlJc w:val="left"/>
      <w:pPr>
        <w:ind w:left="720" w:hanging="360"/>
      </w:pPr>
      <w:rPr>
        <w:rFonts w:ascii="Helvetica" w:eastAsia="Times New Roman"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5E85E8F"/>
    <w:multiLevelType w:val="hybridMultilevel"/>
    <w:tmpl w:val="D9C05D0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75B14FA"/>
    <w:multiLevelType w:val="hybridMultilevel"/>
    <w:tmpl w:val="CB3C4D0C"/>
    <w:lvl w:ilvl="0" w:tplc="D1AC54D6">
      <w:start w:val="1"/>
      <w:numFmt w:val="bullet"/>
      <w:lvlText w:val="-"/>
      <w:lvlJc w:val="left"/>
      <w:pPr>
        <w:ind w:left="1080" w:hanging="360"/>
      </w:pPr>
      <w:rPr>
        <w:rFonts w:ascii="Helvetica" w:eastAsia="Times New Roman" w:hAnsi="Helvetic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7086E28"/>
    <w:multiLevelType w:val="hybridMultilevel"/>
    <w:tmpl w:val="8F902736"/>
    <w:lvl w:ilvl="0" w:tplc="D1AC54D6">
      <w:start w:val="1"/>
      <w:numFmt w:val="bullet"/>
      <w:lvlText w:val="-"/>
      <w:lvlJc w:val="left"/>
      <w:pPr>
        <w:ind w:left="1068" w:hanging="360"/>
      </w:pPr>
      <w:rPr>
        <w:rFonts w:ascii="Helvetica" w:eastAsia="Times New Roman" w:hAnsi="Helvetica"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695707AF"/>
    <w:multiLevelType w:val="hybridMultilevel"/>
    <w:tmpl w:val="024C7BFA"/>
    <w:lvl w:ilvl="0" w:tplc="0C0C000D">
      <w:start w:val="1"/>
      <w:numFmt w:val="bullet"/>
      <w:lvlText w:val=""/>
      <w:lvlJc w:val="left"/>
      <w:pPr>
        <w:ind w:left="1505" w:hanging="360"/>
      </w:pPr>
      <w:rPr>
        <w:rFonts w:ascii="Wingdings" w:hAnsi="Wingdings" w:hint="default"/>
      </w:rPr>
    </w:lvl>
    <w:lvl w:ilvl="1" w:tplc="0C0C0003" w:tentative="1">
      <w:start w:val="1"/>
      <w:numFmt w:val="bullet"/>
      <w:lvlText w:val="o"/>
      <w:lvlJc w:val="left"/>
      <w:pPr>
        <w:ind w:left="2225" w:hanging="360"/>
      </w:pPr>
      <w:rPr>
        <w:rFonts w:ascii="Courier New" w:hAnsi="Courier New" w:cs="Courier New" w:hint="default"/>
      </w:rPr>
    </w:lvl>
    <w:lvl w:ilvl="2" w:tplc="0C0C0005" w:tentative="1">
      <w:start w:val="1"/>
      <w:numFmt w:val="bullet"/>
      <w:lvlText w:val=""/>
      <w:lvlJc w:val="left"/>
      <w:pPr>
        <w:ind w:left="2945" w:hanging="360"/>
      </w:pPr>
      <w:rPr>
        <w:rFonts w:ascii="Wingdings" w:hAnsi="Wingdings" w:hint="default"/>
      </w:rPr>
    </w:lvl>
    <w:lvl w:ilvl="3" w:tplc="0C0C0001" w:tentative="1">
      <w:start w:val="1"/>
      <w:numFmt w:val="bullet"/>
      <w:lvlText w:val=""/>
      <w:lvlJc w:val="left"/>
      <w:pPr>
        <w:ind w:left="3665" w:hanging="360"/>
      </w:pPr>
      <w:rPr>
        <w:rFonts w:ascii="Symbol" w:hAnsi="Symbol" w:hint="default"/>
      </w:rPr>
    </w:lvl>
    <w:lvl w:ilvl="4" w:tplc="0C0C0003" w:tentative="1">
      <w:start w:val="1"/>
      <w:numFmt w:val="bullet"/>
      <w:lvlText w:val="o"/>
      <w:lvlJc w:val="left"/>
      <w:pPr>
        <w:ind w:left="4385" w:hanging="360"/>
      </w:pPr>
      <w:rPr>
        <w:rFonts w:ascii="Courier New" w:hAnsi="Courier New" w:cs="Courier New" w:hint="default"/>
      </w:rPr>
    </w:lvl>
    <w:lvl w:ilvl="5" w:tplc="0C0C0005" w:tentative="1">
      <w:start w:val="1"/>
      <w:numFmt w:val="bullet"/>
      <w:lvlText w:val=""/>
      <w:lvlJc w:val="left"/>
      <w:pPr>
        <w:ind w:left="5105" w:hanging="360"/>
      </w:pPr>
      <w:rPr>
        <w:rFonts w:ascii="Wingdings" w:hAnsi="Wingdings" w:hint="default"/>
      </w:rPr>
    </w:lvl>
    <w:lvl w:ilvl="6" w:tplc="0C0C0001" w:tentative="1">
      <w:start w:val="1"/>
      <w:numFmt w:val="bullet"/>
      <w:lvlText w:val=""/>
      <w:lvlJc w:val="left"/>
      <w:pPr>
        <w:ind w:left="5825" w:hanging="360"/>
      </w:pPr>
      <w:rPr>
        <w:rFonts w:ascii="Symbol" w:hAnsi="Symbol" w:hint="default"/>
      </w:rPr>
    </w:lvl>
    <w:lvl w:ilvl="7" w:tplc="0C0C0003" w:tentative="1">
      <w:start w:val="1"/>
      <w:numFmt w:val="bullet"/>
      <w:lvlText w:val="o"/>
      <w:lvlJc w:val="left"/>
      <w:pPr>
        <w:ind w:left="6545" w:hanging="360"/>
      </w:pPr>
      <w:rPr>
        <w:rFonts w:ascii="Courier New" w:hAnsi="Courier New" w:cs="Courier New" w:hint="default"/>
      </w:rPr>
    </w:lvl>
    <w:lvl w:ilvl="8" w:tplc="0C0C0005" w:tentative="1">
      <w:start w:val="1"/>
      <w:numFmt w:val="bullet"/>
      <w:lvlText w:val=""/>
      <w:lvlJc w:val="left"/>
      <w:pPr>
        <w:ind w:left="7265" w:hanging="360"/>
      </w:pPr>
      <w:rPr>
        <w:rFonts w:ascii="Wingdings" w:hAnsi="Wingdings" w:hint="default"/>
      </w:rPr>
    </w:lvl>
  </w:abstractNum>
  <w:abstractNum w:abstractNumId="29" w15:restartNumberingAfterBreak="0">
    <w:nsid w:val="6F26566A"/>
    <w:multiLevelType w:val="multilevel"/>
    <w:tmpl w:val="EA6A875A"/>
    <w:lvl w:ilvl="0">
      <w:start w:val="9"/>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FFC54D9"/>
    <w:multiLevelType w:val="hybridMultilevel"/>
    <w:tmpl w:val="F4B45444"/>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1941DEA"/>
    <w:multiLevelType w:val="hybridMultilevel"/>
    <w:tmpl w:val="97E00CFA"/>
    <w:lvl w:ilvl="0" w:tplc="D1AC54D6">
      <w:start w:val="1"/>
      <w:numFmt w:val="bullet"/>
      <w:lvlText w:val="-"/>
      <w:lvlJc w:val="left"/>
      <w:pPr>
        <w:ind w:left="1080" w:hanging="360"/>
      </w:pPr>
      <w:rPr>
        <w:rFonts w:ascii="Helvetica" w:eastAsia="Times New Roman" w:hAnsi="Helvetic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54945D3"/>
    <w:multiLevelType w:val="hybridMultilevel"/>
    <w:tmpl w:val="EC66BCAC"/>
    <w:lvl w:ilvl="0" w:tplc="82D6CDA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7F4F93"/>
    <w:multiLevelType w:val="hybridMultilevel"/>
    <w:tmpl w:val="18FCD7CA"/>
    <w:lvl w:ilvl="0" w:tplc="D1AC54D6">
      <w:start w:val="1"/>
      <w:numFmt w:val="bullet"/>
      <w:lvlText w:val="-"/>
      <w:lvlJc w:val="left"/>
      <w:pPr>
        <w:ind w:left="720" w:hanging="360"/>
      </w:pPr>
      <w:rPr>
        <w:rFonts w:ascii="Helvetica" w:eastAsia="Times New Roman" w:hAnsi="Helvetic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7B416B"/>
    <w:multiLevelType w:val="hybridMultilevel"/>
    <w:tmpl w:val="E228A374"/>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15:restartNumberingAfterBreak="0">
    <w:nsid w:val="7B5716F6"/>
    <w:multiLevelType w:val="multilevel"/>
    <w:tmpl w:val="7B5716F6"/>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1978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704214">
    <w:abstractNumId w:val="15"/>
  </w:num>
  <w:num w:numId="3" w16cid:durableId="778642420">
    <w:abstractNumId w:val="4"/>
  </w:num>
  <w:num w:numId="4" w16cid:durableId="1479684851">
    <w:abstractNumId w:val="11"/>
  </w:num>
  <w:num w:numId="5" w16cid:durableId="1802721469">
    <w:abstractNumId w:val="35"/>
  </w:num>
  <w:num w:numId="6" w16cid:durableId="1637761633">
    <w:abstractNumId w:val="22"/>
  </w:num>
  <w:num w:numId="7" w16cid:durableId="1786926651">
    <w:abstractNumId w:val="14"/>
  </w:num>
  <w:num w:numId="8" w16cid:durableId="1450931350">
    <w:abstractNumId w:val="19"/>
  </w:num>
  <w:num w:numId="9" w16cid:durableId="1870993551">
    <w:abstractNumId w:val="0"/>
  </w:num>
  <w:num w:numId="10" w16cid:durableId="2146968306">
    <w:abstractNumId w:val="24"/>
  </w:num>
  <w:num w:numId="11" w16cid:durableId="1896626923">
    <w:abstractNumId w:val="8"/>
  </w:num>
  <w:num w:numId="12" w16cid:durableId="1016342828">
    <w:abstractNumId w:val="5"/>
  </w:num>
  <w:num w:numId="13" w16cid:durableId="1131510785">
    <w:abstractNumId w:val="23"/>
  </w:num>
  <w:num w:numId="14" w16cid:durableId="648218526">
    <w:abstractNumId w:val="6"/>
  </w:num>
  <w:num w:numId="15" w16cid:durableId="2141604560">
    <w:abstractNumId w:val="20"/>
  </w:num>
  <w:num w:numId="16" w16cid:durableId="639577484">
    <w:abstractNumId w:val="33"/>
  </w:num>
  <w:num w:numId="17" w16cid:durableId="987248351">
    <w:abstractNumId w:val="28"/>
  </w:num>
  <w:num w:numId="18" w16cid:durableId="1568344633">
    <w:abstractNumId w:val="34"/>
  </w:num>
  <w:num w:numId="19" w16cid:durableId="1434938153">
    <w:abstractNumId w:val="12"/>
  </w:num>
  <w:num w:numId="20" w16cid:durableId="1892379529">
    <w:abstractNumId w:val="16"/>
  </w:num>
  <w:num w:numId="21" w16cid:durableId="871114475">
    <w:abstractNumId w:val="25"/>
  </w:num>
  <w:num w:numId="22" w16cid:durableId="1053845077">
    <w:abstractNumId w:val="30"/>
  </w:num>
  <w:num w:numId="23" w16cid:durableId="752051934">
    <w:abstractNumId w:val="29"/>
  </w:num>
  <w:num w:numId="24" w16cid:durableId="1042562653">
    <w:abstractNumId w:val="21"/>
  </w:num>
  <w:num w:numId="25" w16cid:durableId="1700282099">
    <w:abstractNumId w:val="32"/>
  </w:num>
  <w:num w:numId="26" w16cid:durableId="1853059208">
    <w:abstractNumId w:val="3"/>
  </w:num>
  <w:num w:numId="27" w16cid:durableId="855650899">
    <w:abstractNumId w:val="1"/>
  </w:num>
  <w:num w:numId="28" w16cid:durableId="1563639535">
    <w:abstractNumId w:val="10"/>
  </w:num>
  <w:num w:numId="29" w16cid:durableId="1440102575">
    <w:abstractNumId w:val="26"/>
  </w:num>
  <w:num w:numId="30" w16cid:durableId="1727298456">
    <w:abstractNumId w:val="31"/>
  </w:num>
  <w:num w:numId="31" w16cid:durableId="2100439950">
    <w:abstractNumId w:val="7"/>
  </w:num>
  <w:num w:numId="32" w16cid:durableId="733357332">
    <w:abstractNumId w:val="13"/>
  </w:num>
  <w:num w:numId="33" w16cid:durableId="1530100586">
    <w:abstractNumId w:val="18"/>
  </w:num>
  <w:num w:numId="34" w16cid:durableId="1847670888">
    <w:abstractNumId w:val="27"/>
  </w:num>
  <w:num w:numId="35" w16cid:durableId="475493747">
    <w:abstractNumId w:val="17"/>
  </w:num>
  <w:num w:numId="36" w16cid:durableId="30227159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EE"/>
    <w:rsid w:val="00000A3D"/>
    <w:rsid w:val="0000179B"/>
    <w:rsid w:val="00001FED"/>
    <w:rsid w:val="00002C77"/>
    <w:rsid w:val="0000352C"/>
    <w:rsid w:val="00007F48"/>
    <w:rsid w:val="0001258F"/>
    <w:rsid w:val="00012682"/>
    <w:rsid w:val="00016583"/>
    <w:rsid w:val="00016C52"/>
    <w:rsid w:val="00020944"/>
    <w:rsid w:val="000233D9"/>
    <w:rsid w:val="000248CC"/>
    <w:rsid w:val="00026272"/>
    <w:rsid w:val="0003168A"/>
    <w:rsid w:val="000331AC"/>
    <w:rsid w:val="00033E0D"/>
    <w:rsid w:val="00034C63"/>
    <w:rsid w:val="000362B0"/>
    <w:rsid w:val="00036566"/>
    <w:rsid w:val="00037FB9"/>
    <w:rsid w:val="00040A03"/>
    <w:rsid w:val="00041F3F"/>
    <w:rsid w:val="00047352"/>
    <w:rsid w:val="000554EC"/>
    <w:rsid w:val="00055D4E"/>
    <w:rsid w:val="000573F7"/>
    <w:rsid w:val="0006462C"/>
    <w:rsid w:val="000655C7"/>
    <w:rsid w:val="00066630"/>
    <w:rsid w:val="000716E4"/>
    <w:rsid w:val="00072682"/>
    <w:rsid w:val="00072873"/>
    <w:rsid w:val="0007386F"/>
    <w:rsid w:val="00073B9F"/>
    <w:rsid w:val="000741D7"/>
    <w:rsid w:val="00074A3C"/>
    <w:rsid w:val="00082085"/>
    <w:rsid w:val="000828BE"/>
    <w:rsid w:val="00082CBB"/>
    <w:rsid w:val="0008306D"/>
    <w:rsid w:val="00084320"/>
    <w:rsid w:val="0009345E"/>
    <w:rsid w:val="00093802"/>
    <w:rsid w:val="00095465"/>
    <w:rsid w:val="00095920"/>
    <w:rsid w:val="00096F7E"/>
    <w:rsid w:val="00097B36"/>
    <w:rsid w:val="000A2913"/>
    <w:rsid w:val="000A4282"/>
    <w:rsid w:val="000A6210"/>
    <w:rsid w:val="000A6A4C"/>
    <w:rsid w:val="000B04D7"/>
    <w:rsid w:val="000B04F8"/>
    <w:rsid w:val="000B0ACB"/>
    <w:rsid w:val="000B5599"/>
    <w:rsid w:val="000C1E1D"/>
    <w:rsid w:val="000C5635"/>
    <w:rsid w:val="000C6015"/>
    <w:rsid w:val="000C67FB"/>
    <w:rsid w:val="000D046E"/>
    <w:rsid w:val="000D0825"/>
    <w:rsid w:val="000D1B07"/>
    <w:rsid w:val="000D2146"/>
    <w:rsid w:val="000D3989"/>
    <w:rsid w:val="000D3C66"/>
    <w:rsid w:val="000E20CD"/>
    <w:rsid w:val="000E53F8"/>
    <w:rsid w:val="000E7F3E"/>
    <w:rsid w:val="000F1455"/>
    <w:rsid w:val="000F1EA4"/>
    <w:rsid w:val="000F23CF"/>
    <w:rsid w:val="000F3A74"/>
    <w:rsid w:val="000F3D86"/>
    <w:rsid w:val="000F4F1B"/>
    <w:rsid w:val="000F56B0"/>
    <w:rsid w:val="000F7603"/>
    <w:rsid w:val="00100E55"/>
    <w:rsid w:val="001047C4"/>
    <w:rsid w:val="001047E7"/>
    <w:rsid w:val="00112E16"/>
    <w:rsid w:val="00114F51"/>
    <w:rsid w:val="00115284"/>
    <w:rsid w:val="00117F33"/>
    <w:rsid w:val="00121014"/>
    <w:rsid w:val="00121452"/>
    <w:rsid w:val="00122E9E"/>
    <w:rsid w:val="00124139"/>
    <w:rsid w:val="00124E49"/>
    <w:rsid w:val="00125E0D"/>
    <w:rsid w:val="00126E0F"/>
    <w:rsid w:val="00133D11"/>
    <w:rsid w:val="00134B41"/>
    <w:rsid w:val="0013731E"/>
    <w:rsid w:val="00140FC1"/>
    <w:rsid w:val="00141865"/>
    <w:rsid w:val="001419D9"/>
    <w:rsid w:val="0014626D"/>
    <w:rsid w:val="00146858"/>
    <w:rsid w:val="001501D7"/>
    <w:rsid w:val="00151347"/>
    <w:rsid w:val="0015143B"/>
    <w:rsid w:val="00151E7D"/>
    <w:rsid w:val="00153674"/>
    <w:rsid w:val="001546C6"/>
    <w:rsid w:val="0015709F"/>
    <w:rsid w:val="00161D90"/>
    <w:rsid w:val="001631E4"/>
    <w:rsid w:val="00165CF3"/>
    <w:rsid w:val="00174C5B"/>
    <w:rsid w:val="001774A5"/>
    <w:rsid w:val="001869D7"/>
    <w:rsid w:val="00187565"/>
    <w:rsid w:val="0019251C"/>
    <w:rsid w:val="00192987"/>
    <w:rsid w:val="00192D7C"/>
    <w:rsid w:val="0019536C"/>
    <w:rsid w:val="001A2B05"/>
    <w:rsid w:val="001A2C61"/>
    <w:rsid w:val="001A313D"/>
    <w:rsid w:val="001A3287"/>
    <w:rsid w:val="001A5285"/>
    <w:rsid w:val="001B233C"/>
    <w:rsid w:val="001B435B"/>
    <w:rsid w:val="001B5B40"/>
    <w:rsid w:val="001C2C87"/>
    <w:rsid w:val="001C3710"/>
    <w:rsid w:val="001C569F"/>
    <w:rsid w:val="001C673A"/>
    <w:rsid w:val="001C7932"/>
    <w:rsid w:val="001D160D"/>
    <w:rsid w:val="001D6BAF"/>
    <w:rsid w:val="001E2C74"/>
    <w:rsid w:val="001E7ACA"/>
    <w:rsid w:val="001F16A2"/>
    <w:rsid w:val="001F1F3D"/>
    <w:rsid w:val="001F48D0"/>
    <w:rsid w:val="001F564C"/>
    <w:rsid w:val="001F7284"/>
    <w:rsid w:val="001F7E38"/>
    <w:rsid w:val="001F7FF4"/>
    <w:rsid w:val="002013B7"/>
    <w:rsid w:val="00203C40"/>
    <w:rsid w:val="00204E95"/>
    <w:rsid w:val="002058AD"/>
    <w:rsid w:val="00206415"/>
    <w:rsid w:val="00213DAB"/>
    <w:rsid w:val="00223E13"/>
    <w:rsid w:val="00224E87"/>
    <w:rsid w:val="002252FF"/>
    <w:rsid w:val="002260BF"/>
    <w:rsid w:val="002263CB"/>
    <w:rsid w:val="0022643E"/>
    <w:rsid w:val="00230E60"/>
    <w:rsid w:val="00230FDB"/>
    <w:rsid w:val="00231B1A"/>
    <w:rsid w:val="0023434A"/>
    <w:rsid w:val="00234A42"/>
    <w:rsid w:val="00235F3D"/>
    <w:rsid w:val="00240ACC"/>
    <w:rsid w:val="0024129A"/>
    <w:rsid w:val="002414D5"/>
    <w:rsid w:val="002417F1"/>
    <w:rsid w:val="00242020"/>
    <w:rsid w:val="0024590A"/>
    <w:rsid w:val="00245A9E"/>
    <w:rsid w:val="00252EF3"/>
    <w:rsid w:val="0025458B"/>
    <w:rsid w:val="00254D85"/>
    <w:rsid w:val="002554AC"/>
    <w:rsid w:val="0025643D"/>
    <w:rsid w:val="00256926"/>
    <w:rsid w:val="0026034A"/>
    <w:rsid w:val="00260C33"/>
    <w:rsid w:val="00262267"/>
    <w:rsid w:val="00263CA1"/>
    <w:rsid w:val="00263D37"/>
    <w:rsid w:val="002647E6"/>
    <w:rsid w:val="00264F97"/>
    <w:rsid w:val="002655C6"/>
    <w:rsid w:val="0027572A"/>
    <w:rsid w:val="00275F6E"/>
    <w:rsid w:val="00277CA5"/>
    <w:rsid w:val="00282687"/>
    <w:rsid w:val="002831DD"/>
    <w:rsid w:val="002845C3"/>
    <w:rsid w:val="00294246"/>
    <w:rsid w:val="002A0BAB"/>
    <w:rsid w:val="002A26CC"/>
    <w:rsid w:val="002A69B1"/>
    <w:rsid w:val="002B3FC8"/>
    <w:rsid w:val="002B7037"/>
    <w:rsid w:val="002B729D"/>
    <w:rsid w:val="002C0C87"/>
    <w:rsid w:val="002C3560"/>
    <w:rsid w:val="002C592B"/>
    <w:rsid w:val="002D14F3"/>
    <w:rsid w:val="002D1900"/>
    <w:rsid w:val="002D42A2"/>
    <w:rsid w:val="002D4B64"/>
    <w:rsid w:val="002D5A1D"/>
    <w:rsid w:val="002D5AC7"/>
    <w:rsid w:val="002D6BDA"/>
    <w:rsid w:val="002E0285"/>
    <w:rsid w:val="002E2BE8"/>
    <w:rsid w:val="002E53CF"/>
    <w:rsid w:val="002E6BF9"/>
    <w:rsid w:val="002F2C72"/>
    <w:rsid w:val="002F38E7"/>
    <w:rsid w:val="002F3998"/>
    <w:rsid w:val="002F436A"/>
    <w:rsid w:val="002F77D4"/>
    <w:rsid w:val="002F78E4"/>
    <w:rsid w:val="00300036"/>
    <w:rsid w:val="00300A40"/>
    <w:rsid w:val="00300D30"/>
    <w:rsid w:val="003111CD"/>
    <w:rsid w:val="003111D8"/>
    <w:rsid w:val="00312D93"/>
    <w:rsid w:val="00312F57"/>
    <w:rsid w:val="003203EE"/>
    <w:rsid w:val="00324139"/>
    <w:rsid w:val="003274EE"/>
    <w:rsid w:val="00333964"/>
    <w:rsid w:val="00334D2A"/>
    <w:rsid w:val="00334EF0"/>
    <w:rsid w:val="00342A33"/>
    <w:rsid w:val="003476AA"/>
    <w:rsid w:val="00347B5D"/>
    <w:rsid w:val="00350A4F"/>
    <w:rsid w:val="00354659"/>
    <w:rsid w:val="003602C3"/>
    <w:rsid w:val="00361F6D"/>
    <w:rsid w:val="00363139"/>
    <w:rsid w:val="003676B0"/>
    <w:rsid w:val="00367997"/>
    <w:rsid w:val="0037010E"/>
    <w:rsid w:val="003707D6"/>
    <w:rsid w:val="00376715"/>
    <w:rsid w:val="003810E7"/>
    <w:rsid w:val="00381F18"/>
    <w:rsid w:val="00382CFA"/>
    <w:rsid w:val="0038646C"/>
    <w:rsid w:val="00387D19"/>
    <w:rsid w:val="00392744"/>
    <w:rsid w:val="003941C9"/>
    <w:rsid w:val="0039667B"/>
    <w:rsid w:val="003A1E6F"/>
    <w:rsid w:val="003A21C2"/>
    <w:rsid w:val="003A2853"/>
    <w:rsid w:val="003A2B91"/>
    <w:rsid w:val="003A34FD"/>
    <w:rsid w:val="003A44CE"/>
    <w:rsid w:val="003A4BCB"/>
    <w:rsid w:val="003B375E"/>
    <w:rsid w:val="003B61D2"/>
    <w:rsid w:val="003C0F62"/>
    <w:rsid w:val="003C64C3"/>
    <w:rsid w:val="003C7749"/>
    <w:rsid w:val="003D2D83"/>
    <w:rsid w:val="003D48D2"/>
    <w:rsid w:val="003D562B"/>
    <w:rsid w:val="003D6045"/>
    <w:rsid w:val="003E256C"/>
    <w:rsid w:val="003E6943"/>
    <w:rsid w:val="003E6AA3"/>
    <w:rsid w:val="003F11A1"/>
    <w:rsid w:val="003F1E09"/>
    <w:rsid w:val="003F2A6F"/>
    <w:rsid w:val="003F33A8"/>
    <w:rsid w:val="003F429B"/>
    <w:rsid w:val="003F4878"/>
    <w:rsid w:val="0040113B"/>
    <w:rsid w:val="004011BB"/>
    <w:rsid w:val="004022C8"/>
    <w:rsid w:val="004026BE"/>
    <w:rsid w:val="00402BE8"/>
    <w:rsid w:val="004051B3"/>
    <w:rsid w:val="00406218"/>
    <w:rsid w:val="0040762D"/>
    <w:rsid w:val="00411C2B"/>
    <w:rsid w:val="00411F96"/>
    <w:rsid w:val="004166EE"/>
    <w:rsid w:val="00416CAD"/>
    <w:rsid w:val="00416D76"/>
    <w:rsid w:val="004204D7"/>
    <w:rsid w:val="00420771"/>
    <w:rsid w:val="00420AF8"/>
    <w:rsid w:val="0042234B"/>
    <w:rsid w:val="0042461B"/>
    <w:rsid w:val="00424E40"/>
    <w:rsid w:val="00427F4F"/>
    <w:rsid w:val="00430DEE"/>
    <w:rsid w:val="00432FEC"/>
    <w:rsid w:val="00433550"/>
    <w:rsid w:val="00433B76"/>
    <w:rsid w:val="0043522E"/>
    <w:rsid w:val="004429FA"/>
    <w:rsid w:val="00442E81"/>
    <w:rsid w:val="004441EB"/>
    <w:rsid w:val="00447316"/>
    <w:rsid w:val="00450A6C"/>
    <w:rsid w:val="00451906"/>
    <w:rsid w:val="00451DF2"/>
    <w:rsid w:val="00452BCB"/>
    <w:rsid w:val="0045378A"/>
    <w:rsid w:val="004543AB"/>
    <w:rsid w:val="004606C3"/>
    <w:rsid w:val="00462549"/>
    <w:rsid w:val="00462732"/>
    <w:rsid w:val="00462ADD"/>
    <w:rsid w:val="00463F8E"/>
    <w:rsid w:val="00467A33"/>
    <w:rsid w:val="0047192C"/>
    <w:rsid w:val="0047208C"/>
    <w:rsid w:val="004822C7"/>
    <w:rsid w:val="00482BF6"/>
    <w:rsid w:val="0048426D"/>
    <w:rsid w:val="00490280"/>
    <w:rsid w:val="00490A77"/>
    <w:rsid w:val="00491BBD"/>
    <w:rsid w:val="00491C2D"/>
    <w:rsid w:val="0049296F"/>
    <w:rsid w:val="00493192"/>
    <w:rsid w:val="004931AC"/>
    <w:rsid w:val="00494E47"/>
    <w:rsid w:val="004952C8"/>
    <w:rsid w:val="00496A05"/>
    <w:rsid w:val="00497270"/>
    <w:rsid w:val="00497EC7"/>
    <w:rsid w:val="004A0160"/>
    <w:rsid w:val="004A1F31"/>
    <w:rsid w:val="004A549F"/>
    <w:rsid w:val="004A6E37"/>
    <w:rsid w:val="004A7C33"/>
    <w:rsid w:val="004B12FF"/>
    <w:rsid w:val="004B1F23"/>
    <w:rsid w:val="004B29B9"/>
    <w:rsid w:val="004B2C6F"/>
    <w:rsid w:val="004B555A"/>
    <w:rsid w:val="004B6161"/>
    <w:rsid w:val="004B678A"/>
    <w:rsid w:val="004B68E2"/>
    <w:rsid w:val="004B6EE4"/>
    <w:rsid w:val="004C20B1"/>
    <w:rsid w:val="004C277F"/>
    <w:rsid w:val="004C2793"/>
    <w:rsid w:val="004C3EF5"/>
    <w:rsid w:val="004C5494"/>
    <w:rsid w:val="004C7319"/>
    <w:rsid w:val="004D09C8"/>
    <w:rsid w:val="004D0A8E"/>
    <w:rsid w:val="004D0E5F"/>
    <w:rsid w:val="004D1F9B"/>
    <w:rsid w:val="004D24E1"/>
    <w:rsid w:val="004D28B5"/>
    <w:rsid w:val="004D28EF"/>
    <w:rsid w:val="004D428F"/>
    <w:rsid w:val="004D495B"/>
    <w:rsid w:val="004D74E8"/>
    <w:rsid w:val="004E298C"/>
    <w:rsid w:val="004E4ADE"/>
    <w:rsid w:val="004E7507"/>
    <w:rsid w:val="004F23A0"/>
    <w:rsid w:val="004F2ABF"/>
    <w:rsid w:val="004F3963"/>
    <w:rsid w:val="004F6315"/>
    <w:rsid w:val="004F7D6A"/>
    <w:rsid w:val="0050267D"/>
    <w:rsid w:val="00504093"/>
    <w:rsid w:val="00506076"/>
    <w:rsid w:val="0050627F"/>
    <w:rsid w:val="00507226"/>
    <w:rsid w:val="00507E2A"/>
    <w:rsid w:val="005134AF"/>
    <w:rsid w:val="0051396B"/>
    <w:rsid w:val="00515422"/>
    <w:rsid w:val="00524217"/>
    <w:rsid w:val="005264B4"/>
    <w:rsid w:val="005274D0"/>
    <w:rsid w:val="00530B0C"/>
    <w:rsid w:val="00531261"/>
    <w:rsid w:val="00531895"/>
    <w:rsid w:val="00532A4F"/>
    <w:rsid w:val="0053368E"/>
    <w:rsid w:val="00534896"/>
    <w:rsid w:val="005354FB"/>
    <w:rsid w:val="005357D6"/>
    <w:rsid w:val="00535B9F"/>
    <w:rsid w:val="00536895"/>
    <w:rsid w:val="005408C2"/>
    <w:rsid w:val="00541081"/>
    <w:rsid w:val="00541C7D"/>
    <w:rsid w:val="005426B5"/>
    <w:rsid w:val="005440D6"/>
    <w:rsid w:val="00545102"/>
    <w:rsid w:val="00551CA9"/>
    <w:rsid w:val="0055345B"/>
    <w:rsid w:val="00555A26"/>
    <w:rsid w:val="00555D7F"/>
    <w:rsid w:val="005564F2"/>
    <w:rsid w:val="00561319"/>
    <w:rsid w:val="00562DC2"/>
    <w:rsid w:val="00563383"/>
    <w:rsid w:val="005677F2"/>
    <w:rsid w:val="005726DE"/>
    <w:rsid w:val="00572FE1"/>
    <w:rsid w:val="005754F2"/>
    <w:rsid w:val="005756CB"/>
    <w:rsid w:val="00575896"/>
    <w:rsid w:val="00576ED1"/>
    <w:rsid w:val="00577519"/>
    <w:rsid w:val="00580D5D"/>
    <w:rsid w:val="0058322C"/>
    <w:rsid w:val="00584071"/>
    <w:rsid w:val="00586828"/>
    <w:rsid w:val="005868E0"/>
    <w:rsid w:val="00591916"/>
    <w:rsid w:val="00591C03"/>
    <w:rsid w:val="00592C50"/>
    <w:rsid w:val="005932B8"/>
    <w:rsid w:val="00596EC9"/>
    <w:rsid w:val="005A52A2"/>
    <w:rsid w:val="005A5FDA"/>
    <w:rsid w:val="005A6D5E"/>
    <w:rsid w:val="005B26E2"/>
    <w:rsid w:val="005B3A67"/>
    <w:rsid w:val="005B6F37"/>
    <w:rsid w:val="005C0018"/>
    <w:rsid w:val="005C4F8C"/>
    <w:rsid w:val="005C502D"/>
    <w:rsid w:val="005C7A67"/>
    <w:rsid w:val="005D0C08"/>
    <w:rsid w:val="005D3E1D"/>
    <w:rsid w:val="005D5164"/>
    <w:rsid w:val="005D7303"/>
    <w:rsid w:val="005D79E0"/>
    <w:rsid w:val="005D7B2D"/>
    <w:rsid w:val="005E6A5B"/>
    <w:rsid w:val="005E7168"/>
    <w:rsid w:val="005F0E95"/>
    <w:rsid w:val="005F16A9"/>
    <w:rsid w:val="005F2F28"/>
    <w:rsid w:val="005F4953"/>
    <w:rsid w:val="005F4954"/>
    <w:rsid w:val="005F5C66"/>
    <w:rsid w:val="005F79A0"/>
    <w:rsid w:val="00601032"/>
    <w:rsid w:val="00601F92"/>
    <w:rsid w:val="00602209"/>
    <w:rsid w:val="006025BF"/>
    <w:rsid w:val="006044FF"/>
    <w:rsid w:val="00613A48"/>
    <w:rsid w:val="00614B2F"/>
    <w:rsid w:val="006158D2"/>
    <w:rsid w:val="006171A2"/>
    <w:rsid w:val="00620BBB"/>
    <w:rsid w:val="006224FD"/>
    <w:rsid w:val="00623E5E"/>
    <w:rsid w:val="00626456"/>
    <w:rsid w:val="006278D9"/>
    <w:rsid w:val="00627BE8"/>
    <w:rsid w:val="006301B0"/>
    <w:rsid w:val="00634E5B"/>
    <w:rsid w:val="00636BD7"/>
    <w:rsid w:val="00646150"/>
    <w:rsid w:val="00650453"/>
    <w:rsid w:val="00650EB6"/>
    <w:rsid w:val="006540B9"/>
    <w:rsid w:val="00655937"/>
    <w:rsid w:val="00657FE5"/>
    <w:rsid w:val="00660230"/>
    <w:rsid w:val="00670286"/>
    <w:rsid w:val="006714E0"/>
    <w:rsid w:val="00672CA7"/>
    <w:rsid w:val="00673F6E"/>
    <w:rsid w:val="006742D2"/>
    <w:rsid w:val="0068239D"/>
    <w:rsid w:val="00682F3E"/>
    <w:rsid w:val="006831C4"/>
    <w:rsid w:val="006835C2"/>
    <w:rsid w:val="00684B6E"/>
    <w:rsid w:val="00690B1F"/>
    <w:rsid w:val="006949F8"/>
    <w:rsid w:val="006951D0"/>
    <w:rsid w:val="00695431"/>
    <w:rsid w:val="00697E66"/>
    <w:rsid w:val="006A2512"/>
    <w:rsid w:val="006A70F9"/>
    <w:rsid w:val="006A75D6"/>
    <w:rsid w:val="006B0775"/>
    <w:rsid w:val="006B0A03"/>
    <w:rsid w:val="006B0E06"/>
    <w:rsid w:val="006B0FE8"/>
    <w:rsid w:val="006B12B7"/>
    <w:rsid w:val="006B28DF"/>
    <w:rsid w:val="006B5B12"/>
    <w:rsid w:val="006C0F5B"/>
    <w:rsid w:val="006C22B5"/>
    <w:rsid w:val="006C2F98"/>
    <w:rsid w:val="006C450C"/>
    <w:rsid w:val="006C7483"/>
    <w:rsid w:val="006D26A2"/>
    <w:rsid w:val="006D2CDA"/>
    <w:rsid w:val="006D3B48"/>
    <w:rsid w:val="006D4AED"/>
    <w:rsid w:val="006D50E1"/>
    <w:rsid w:val="006D6381"/>
    <w:rsid w:val="006D70E4"/>
    <w:rsid w:val="006D72DE"/>
    <w:rsid w:val="006E1C04"/>
    <w:rsid w:val="006E2E29"/>
    <w:rsid w:val="006E70A8"/>
    <w:rsid w:val="006E7C1D"/>
    <w:rsid w:val="006F01E4"/>
    <w:rsid w:val="006F20E9"/>
    <w:rsid w:val="006F2AF6"/>
    <w:rsid w:val="006F6505"/>
    <w:rsid w:val="006F6AD5"/>
    <w:rsid w:val="00701CB1"/>
    <w:rsid w:val="00704F4F"/>
    <w:rsid w:val="007059F5"/>
    <w:rsid w:val="00707A72"/>
    <w:rsid w:val="00716BDB"/>
    <w:rsid w:val="00717493"/>
    <w:rsid w:val="00717FB1"/>
    <w:rsid w:val="007229EA"/>
    <w:rsid w:val="00725136"/>
    <w:rsid w:val="007345B1"/>
    <w:rsid w:val="0073726B"/>
    <w:rsid w:val="00745C12"/>
    <w:rsid w:val="00746854"/>
    <w:rsid w:val="007516A3"/>
    <w:rsid w:val="0075262F"/>
    <w:rsid w:val="00753256"/>
    <w:rsid w:val="007549A7"/>
    <w:rsid w:val="0075735B"/>
    <w:rsid w:val="00760108"/>
    <w:rsid w:val="00761619"/>
    <w:rsid w:val="007622A2"/>
    <w:rsid w:val="00763A7A"/>
    <w:rsid w:val="00764F88"/>
    <w:rsid w:val="00765351"/>
    <w:rsid w:val="0076590C"/>
    <w:rsid w:val="00770605"/>
    <w:rsid w:val="0077300C"/>
    <w:rsid w:val="007765BD"/>
    <w:rsid w:val="00777C25"/>
    <w:rsid w:val="007813D7"/>
    <w:rsid w:val="0079125C"/>
    <w:rsid w:val="00794901"/>
    <w:rsid w:val="00795142"/>
    <w:rsid w:val="0079655F"/>
    <w:rsid w:val="007968AD"/>
    <w:rsid w:val="007A145D"/>
    <w:rsid w:val="007A1C85"/>
    <w:rsid w:val="007A1F0A"/>
    <w:rsid w:val="007A3CCC"/>
    <w:rsid w:val="007A5ABE"/>
    <w:rsid w:val="007A628B"/>
    <w:rsid w:val="007A7E4F"/>
    <w:rsid w:val="007B5A43"/>
    <w:rsid w:val="007B5F42"/>
    <w:rsid w:val="007B64AC"/>
    <w:rsid w:val="007B7D12"/>
    <w:rsid w:val="007C109F"/>
    <w:rsid w:val="007C11D9"/>
    <w:rsid w:val="007C17F2"/>
    <w:rsid w:val="007C39FF"/>
    <w:rsid w:val="007C3D0F"/>
    <w:rsid w:val="007C4B3F"/>
    <w:rsid w:val="007C4DCA"/>
    <w:rsid w:val="007D4136"/>
    <w:rsid w:val="007D532B"/>
    <w:rsid w:val="007D5FEB"/>
    <w:rsid w:val="007D7410"/>
    <w:rsid w:val="007D752E"/>
    <w:rsid w:val="007D760B"/>
    <w:rsid w:val="007D7657"/>
    <w:rsid w:val="007E16FA"/>
    <w:rsid w:val="007E2269"/>
    <w:rsid w:val="007E328D"/>
    <w:rsid w:val="007E56B9"/>
    <w:rsid w:val="007E7FE7"/>
    <w:rsid w:val="007F018F"/>
    <w:rsid w:val="007F1252"/>
    <w:rsid w:val="007F3CA9"/>
    <w:rsid w:val="007F5710"/>
    <w:rsid w:val="007F70CC"/>
    <w:rsid w:val="007F7837"/>
    <w:rsid w:val="0080074E"/>
    <w:rsid w:val="00801D34"/>
    <w:rsid w:val="00803190"/>
    <w:rsid w:val="00803855"/>
    <w:rsid w:val="008079A7"/>
    <w:rsid w:val="008123E7"/>
    <w:rsid w:val="008126E9"/>
    <w:rsid w:val="00814293"/>
    <w:rsid w:val="008178D0"/>
    <w:rsid w:val="0082188D"/>
    <w:rsid w:val="00822FA6"/>
    <w:rsid w:val="00824A9A"/>
    <w:rsid w:val="00824BB3"/>
    <w:rsid w:val="00825674"/>
    <w:rsid w:val="0082576F"/>
    <w:rsid w:val="00826CF6"/>
    <w:rsid w:val="00830B0B"/>
    <w:rsid w:val="008312CC"/>
    <w:rsid w:val="00835FBE"/>
    <w:rsid w:val="00836C61"/>
    <w:rsid w:val="00842E35"/>
    <w:rsid w:val="00845383"/>
    <w:rsid w:val="00847BEB"/>
    <w:rsid w:val="0085059C"/>
    <w:rsid w:val="00851BC0"/>
    <w:rsid w:val="00852F02"/>
    <w:rsid w:val="00854914"/>
    <w:rsid w:val="0085742B"/>
    <w:rsid w:val="00857EF0"/>
    <w:rsid w:val="008618BF"/>
    <w:rsid w:val="008651A2"/>
    <w:rsid w:val="00865464"/>
    <w:rsid w:val="0086758F"/>
    <w:rsid w:val="008727AF"/>
    <w:rsid w:val="008743AD"/>
    <w:rsid w:val="00876396"/>
    <w:rsid w:val="008768FC"/>
    <w:rsid w:val="00877692"/>
    <w:rsid w:val="00882ECE"/>
    <w:rsid w:val="00883100"/>
    <w:rsid w:val="008834F4"/>
    <w:rsid w:val="008851C6"/>
    <w:rsid w:val="008852DD"/>
    <w:rsid w:val="008905E2"/>
    <w:rsid w:val="008906AC"/>
    <w:rsid w:val="00890F2C"/>
    <w:rsid w:val="00892D77"/>
    <w:rsid w:val="00897A3A"/>
    <w:rsid w:val="008A03DC"/>
    <w:rsid w:val="008A1598"/>
    <w:rsid w:val="008A463F"/>
    <w:rsid w:val="008A52D9"/>
    <w:rsid w:val="008A5529"/>
    <w:rsid w:val="008A5EAA"/>
    <w:rsid w:val="008A7B3E"/>
    <w:rsid w:val="008B44B7"/>
    <w:rsid w:val="008B522B"/>
    <w:rsid w:val="008B5A48"/>
    <w:rsid w:val="008B6845"/>
    <w:rsid w:val="008B7356"/>
    <w:rsid w:val="008C09E6"/>
    <w:rsid w:val="008C4CB5"/>
    <w:rsid w:val="008C7C1E"/>
    <w:rsid w:val="008D30F6"/>
    <w:rsid w:val="008D62C8"/>
    <w:rsid w:val="008D6586"/>
    <w:rsid w:val="008D7231"/>
    <w:rsid w:val="008E16EF"/>
    <w:rsid w:val="008E292B"/>
    <w:rsid w:val="008E39C0"/>
    <w:rsid w:val="008F030E"/>
    <w:rsid w:val="008F0DC5"/>
    <w:rsid w:val="008F17B0"/>
    <w:rsid w:val="008F2E98"/>
    <w:rsid w:val="008F32B6"/>
    <w:rsid w:val="008F3B99"/>
    <w:rsid w:val="008F57E1"/>
    <w:rsid w:val="009027CC"/>
    <w:rsid w:val="009027F9"/>
    <w:rsid w:val="00910FC5"/>
    <w:rsid w:val="009114B3"/>
    <w:rsid w:val="00911A33"/>
    <w:rsid w:val="00911B3E"/>
    <w:rsid w:val="0091282C"/>
    <w:rsid w:val="00914579"/>
    <w:rsid w:val="0091591E"/>
    <w:rsid w:val="00915CA8"/>
    <w:rsid w:val="00920BFE"/>
    <w:rsid w:val="009225C2"/>
    <w:rsid w:val="0092293D"/>
    <w:rsid w:val="00922B7B"/>
    <w:rsid w:val="00926148"/>
    <w:rsid w:val="00931CA3"/>
    <w:rsid w:val="00935294"/>
    <w:rsid w:val="009360E7"/>
    <w:rsid w:val="00937722"/>
    <w:rsid w:val="00937844"/>
    <w:rsid w:val="00940B89"/>
    <w:rsid w:val="009442C7"/>
    <w:rsid w:val="00945448"/>
    <w:rsid w:val="00945581"/>
    <w:rsid w:val="009469BA"/>
    <w:rsid w:val="0094706C"/>
    <w:rsid w:val="00947743"/>
    <w:rsid w:val="00947E38"/>
    <w:rsid w:val="00951047"/>
    <w:rsid w:val="0095211C"/>
    <w:rsid w:val="009544E7"/>
    <w:rsid w:val="009570BD"/>
    <w:rsid w:val="0095732F"/>
    <w:rsid w:val="00962D45"/>
    <w:rsid w:val="0096549E"/>
    <w:rsid w:val="00967D29"/>
    <w:rsid w:val="009728ED"/>
    <w:rsid w:val="009737F3"/>
    <w:rsid w:val="00976B5D"/>
    <w:rsid w:val="009805D7"/>
    <w:rsid w:val="00980A85"/>
    <w:rsid w:val="00980FAC"/>
    <w:rsid w:val="00986740"/>
    <w:rsid w:val="00986914"/>
    <w:rsid w:val="00986EA2"/>
    <w:rsid w:val="00993351"/>
    <w:rsid w:val="00993660"/>
    <w:rsid w:val="00993B7D"/>
    <w:rsid w:val="009A2BDE"/>
    <w:rsid w:val="009A7DF1"/>
    <w:rsid w:val="009A7E60"/>
    <w:rsid w:val="009B07F9"/>
    <w:rsid w:val="009B3EA9"/>
    <w:rsid w:val="009B441F"/>
    <w:rsid w:val="009B4D6C"/>
    <w:rsid w:val="009B64EB"/>
    <w:rsid w:val="009B6550"/>
    <w:rsid w:val="009B7BE3"/>
    <w:rsid w:val="009B7F30"/>
    <w:rsid w:val="009C3ABC"/>
    <w:rsid w:val="009C3F7C"/>
    <w:rsid w:val="009C46D3"/>
    <w:rsid w:val="009C6614"/>
    <w:rsid w:val="009D1C7F"/>
    <w:rsid w:val="009D3863"/>
    <w:rsid w:val="009D4849"/>
    <w:rsid w:val="009D4B33"/>
    <w:rsid w:val="009D566F"/>
    <w:rsid w:val="009E1106"/>
    <w:rsid w:val="009E1FF3"/>
    <w:rsid w:val="009E263F"/>
    <w:rsid w:val="009E3D23"/>
    <w:rsid w:val="009E47FE"/>
    <w:rsid w:val="009E4DCF"/>
    <w:rsid w:val="009E6AA3"/>
    <w:rsid w:val="009E7E8F"/>
    <w:rsid w:val="009F4DE8"/>
    <w:rsid w:val="009F60D7"/>
    <w:rsid w:val="00A00447"/>
    <w:rsid w:val="00A01699"/>
    <w:rsid w:val="00A01B70"/>
    <w:rsid w:val="00A0215F"/>
    <w:rsid w:val="00A036EF"/>
    <w:rsid w:val="00A048E2"/>
    <w:rsid w:val="00A106E4"/>
    <w:rsid w:val="00A11137"/>
    <w:rsid w:val="00A11F90"/>
    <w:rsid w:val="00A134C6"/>
    <w:rsid w:val="00A14480"/>
    <w:rsid w:val="00A15311"/>
    <w:rsid w:val="00A21247"/>
    <w:rsid w:val="00A229CF"/>
    <w:rsid w:val="00A22C4C"/>
    <w:rsid w:val="00A26B77"/>
    <w:rsid w:val="00A279BA"/>
    <w:rsid w:val="00A30A81"/>
    <w:rsid w:val="00A3387F"/>
    <w:rsid w:val="00A426D6"/>
    <w:rsid w:val="00A45B45"/>
    <w:rsid w:val="00A46772"/>
    <w:rsid w:val="00A51185"/>
    <w:rsid w:val="00A52766"/>
    <w:rsid w:val="00A52AA6"/>
    <w:rsid w:val="00A53AD5"/>
    <w:rsid w:val="00A5635F"/>
    <w:rsid w:val="00A565AC"/>
    <w:rsid w:val="00A607B6"/>
    <w:rsid w:val="00A60895"/>
    <w:rsid w:val="00A61561"/>
    <w:rsid w:val="00A6172D"/>
    <w:rsid w:val="00A62DE6"/>
    <w:rsid w:val="00A6761D"/>
    <w:rsid w:val="00A71B6B"/>
    <w:rsid w:val="00A726AB"/>
    <w:rsid w:val="00A72865"/>
    <w:rsid w:val="00A767A4"/>
    <w:rsid w:val="00A8048C"/>
    <w:rsid w:val="00A85F41"/>
    <w:rsid w:val="00A875CA"/>
    <w:rsid w:val="00A87AD7"/>
    <w:rsid w:val="00A90555"/>
    <w:rsid w:val="00A9389B"/>
    <w:rsid w:val="00A94897"/>
    <w:rsid w:val="00AA0774"/>
    <w:rsid w:val="00AA22D6"/>
    <w:rsid w:val="00AA537A"/>
    <w:rsid w:val="00AA7267"/>
    <w:rsid w:val="00AA73E7"/>
    <w:rsid w:val="00AB610E"/>
    <w:rsid w:val="00AB6A18"/>
    <w:rsid w:val="00AB7502"/>
    <w:rsid w:val="00AB78A8"/>
    <w:rsid w:val="00AC3A96"/>
    <w:rsid w:val="00AD207E"/>
    <w:rsid w:val="00AD2293"/>
    <w:rsid w:val="00AD4DE9"/>
    <w:rsid w:val="00AD5F18"/>
    <w:rsid w:val="00AD76F4"/>
    <w:rsid w:val="00AE02CB"/>
    <w:rsid w:val="00AE0A46"/>
    <w:rsid w:val="00AE0DB9"/>
    <w:rsid w:val="00AE25BB"/>
    <w:rsid w:val="00AE3996"/>
    <w:rsid w:val="00AE47D6"/>
    <w:rsid w:val="00AE4B15"/>
    <w:rsid w:val="00AE63E9"/>
    <w:rsid w:val="00AE7D3C"/>
    <w:rsid w:val="00AF3CD4"/>
    <w:rsid w:val="00AF611D"/>
    <w:rsid w:val="00AF6ACD"/>
    <w:rsid w:val="00AF755F"/>
    <w:rsid w:val="00B00765"/>
    <w:rsid w:val="00B033FE"/>
    <w:rsid w:val="00B03E83"/>
    <w:rsid w:val="00B071AC"/>
    <w:rsid w:val="00B072FC"/>
    <w:rsid w:val="00B13A4A"/>
    <w:rsid w:val="00B14171"/>
    <w:rsid w:val="00B145BA"/>
    <w:rsid w:val="00B146BF"/>
    <w:rsid w:val="00B14C34"/>
    <w:rsid w:val="00B17954"/>
    <w:rsid w:val="00B20163"/>
    <w:rsid w:val="00B20DDD"/>
    <w:rsid w:val="00B21AF7"/>
    <w:rsid w:val="00B22077"/>
    <w:rsid w:val="00B227D5"/>
    <w:rsid w:val="00B25D7D"/>
    <w:rsid w:val="00B33B3C"/>
    <w:rsid w:val="00B34020"/>
    <w:rsid w:val="00B35977"/>
    <w:rsid w:val="00B40FAE"/>
    <w:rsid w:val="00B43626"/>
    <w:rsid w:val="00B44EFE"/>
    <w:rsid w:val="00B56FC5"/>
    <w:rsid w:val="00B60BA4"/>
    <w:rsid w:val="00B6144B"/>
    <w:rsid w:val="00B622EC"/>
    <w:rsid w:val="00B62506"/>
    <w:rsid w:val="00B64F42"/>
    <w:rsid w:val="00B67B0F"/>
    <w:rsid w:val="00B709C5"/>
    <w:rsid w:val="00B72DB9"/>
    <w:rsid w:val="00B72F92"/>
    <w:rsid w:val="00B76A34"/>
    <w:rsid w:val="00B77F94"/>
    <w:rsid w:val="00B817C6"/>
    <w:rsid w:val="00B86CE4"/>
    <w:rsid w:val="00B91A19"/>
    <w:rsid w:val="00BA5D93"/>
    <w:rsid w:val="00BC1990"/>
    <w:rsid w:val="00BC3220"/>
    <w:rsid w:val="00BC42B6"/>
    <w:rsid w:val="00BC50A8"/>
    <w:rsid w:val="00BD05B5"/>
    <w:rsid w:val="00BD14DD"/>
    <w:rsid w:val="00BD1918"/>
    <w:rsid w:val="00BD1ABC"/>
    <w:rsid w:val="00BD3920"/>
    <w:rsid w:val="00BD39F7"/>
    <w:rsid w:val="00BD55AF"/>
    <w:rsid w:val="00BD6E32"/>
    <w:rsid w:val="00BD7A25"/>
    <w:rsid w:val="00BD7C21"/>
    <w:rsid w:val="00BE4E6B"/>
    <w:rsid w:val="00BE518D"/>
    <w:rsid w:val="00BF0489"/>
    <w:rsid w:val="00BF1458"/>
    <w:rsid w:val="00BF3059"/>
    <w:rsid w:val="00BF42D9"/>
    <w:rsid w:val="00BF6440"/>
    <w:rsid w:val="00C00E73"/>
    <w:rsid w:val="00C02302"/>
    <w:rsid w:val="00C02399"/>
    <w:rsid w:val="00C02CF1"/>
    <w:rsid w:val="00C033BC"/>
    <w:rsid w:val="00C0443D"/>
    <w:rsid w:val="00C05397"/>
    <w:rsid w:val="00C06776"/>
    <w:rsid w:val="00C0679C"/>
    <w:rsid w:val="00C07BB2"/>
    <w:rsid w:val="00C07C69"/>
    <w:rsid w:val="00C11725"/>
    <w:rsid w:val="00C12E5E"/>
    <w:rsid w:val="00C15913"/>
    <w:rsid w:val="00C15BDF"/>
    <w:rsid w:val="00C176FF"/>
    <w:rsid w:val="00C20375"/>
    <w:rsid w:val="00C23FD7"/>
    <w:rsid w:val="00C25C3B"/>
    <w:rsid w:val="00C2732A"/>
    <w:rsid w:val="00C27FFC"/>
    <w:rsid w:val="00C322F6"/>
    <w:rsid w:val="00C32F84"/>
    <w:rsid w:val="00C33315"/>
    <w:rsid w:val="00C33D40"/>
    <w:rsid w:val="00C35AEE"/>
    <w:rsid w:val="00C36AB6"/>
    <w:rsid w:val="00C4280E"/>
    <w:rsid w:val="00C43773"/>
    <w:rsid w:val="00C45114"/>
    <w:rsid w:val="00C45161"/>
    <w:rsid w:val="00C45C23"/>
    <w:rsid w:val="00C46FA0"/>
    <w:rsid w:val="00C47A46"/>
    <w:rsid w:val="00C51887"/>
    <w:rsid w:val="00C550E7"/>
    <w:rsid w:val="00C60655"/>
    <w:rsid w:val="00C60AC0"/>
    <w:rsid w:val="00C662A5"/>
    <w:rsid w:val="00C663DE"/>
    <w:rsid w:val="00C70E7F"/>
    <w:rsid w:val="00C716D1"/>
    <w:rsid w:val="00C71729"/>
    <w:rsid w:val="00C72EB8"/>
    <w:rsid w:val="00C7317E"/>
    <w:rsid w:val="00C7652F"/>
    <w:rsid w:val="00C76BAA"/>
    <w:rsid w:val="00C80582"/>
    <w:rsid w:val="00C823E2"/>
    <w:rsid w:val="00C83E81"/>
    <w:rsid w:val="00C90DA8"/>
    <w:rsid w:val="00C90F63"/>
    <w:rsid w:val="00C952D2"/>
    <w:rsid w:val="00C96BC3"/>
    <w:rsid w:val="00C975C8"/>
    <w:rsid w:val="00CA1FA7"/>
    <w:rsid w:val="00CA1FF5"/>
    <w:rsid w:val="00CA38F8"/>
    <w:rsid w:val="00CA56D8"/>
    <w:rsid w:val="00CA75AC"/>
    <w:rsid w:val="00CB0945"/>
    <w:rsid w:val="00CB1024"/>
    <w:rsid w:val="00CB5DB3"/>
    <w:rsid w:val="00CB6D9C"/>
    <w:rsid w:val="00CC0035"/>
    <w:rsid w:val="00CC0116"/>
    <w:rsid w:val="00CC6D1A"/>
    <w:rsid w:val="00CD1CC6"/>
    <w:rsid w:val="00CD2622"/>
    <w:rsid w:val="00CD6222"/>
    <w:rsid w:val="00CD63FF"/>
    <w:rsid w:val="00CD7BB4"/>
    <w:rsid w:val="00CE0859"/>
    <w:rsid w:val="00CE18EE"/>
    <w:rsid w:val="00CE1B63"/>
    <w:rsid w:val="00CE1DD8"/>
    <w:rsid w:val="00CE290F"/>
    <w:rsid w:val="00CF3466"/>
    <w:rsid w:val="00CF55D8"/>
    <w:rsid w:val="00D047AA"/>
    <w:rsid w:val="00D05832"/>
    <w:rsid w:val="00D10A17"/>
    <w:rsid w:val="00D12FFC"/>
    <w:rsid w:val="00D16EA3"/>
    <w:rsid w:val="00D17314"/>
    <w:rsid w:val="00D17DB2"/>
    <w:rsid w:val="00D21C0A"/>
    <w:rsid w:val="00D22E82"/>
    <w:rsid w:val="00D23535"/>
    <w:rsid w:val="00D23703"/>
    <w:rsid w:val="00D24F50"/>
    <w:rsid w:val="00D25B9F"/>
    <w:rsid w:val="00D26F49"/>
    <w:rsid w:val="00D31654"/>
    <w:rsid w:val="00D360FE"/>
    <w:rsid w:val="00D37321"/>
    <w:rsid w:val="00D37FE0"/>
    <w:rsid w:val="00D41FAF"/>
    <w:rsid w:val="00D430BA"/>
    <w:rsid w:val="00D434B0"/>
    <w:rsid w:val="00D444E6"/>
    <w:rsid w:val="00D44E98"/>
    <w:rsid w:val="00D45F02"/>
    <w:rsid w:val="00D47196"/>
    <w:rsid w:val="00D47411"/>
    <w:rsid w:val="00D47C3E"/>
    <w:rsid w:val="00D52032"/>
    <w:rsid w:val="00D5345C"/>
    <w:rsid w:val="00D56C88"/>
    <w:rsid w:val="00D57257"/>
    <w:rsid w:val="00D60C5E"/>
    <w:rsid w:val="00D612B7"/>
    <w:rsid w:val="00D62333"/>
    <w:rsid w:val="00D6597C"/>
    <w:rsid w:val="00D65FC0"/>
    <w:rsid w:val="00D70A43"/>
    <w:rsid w:val="00D71984"/>
    <w:rsid w:val="00D7495C"/>
    <w:rsid w:val="00D75C0E"/>
    <w:rsid w:val="00D7667D"/>
    <w:rsid w:val="00D77EF9"/>
    <w:rsid w:val="00D77F1F"/>
    <w:rsid w:val="00D802F5"/>
    <w:rsid w:val="00D80E6B"/>
    <w:rsid w:val="00D82FEE"/>
    <w:rsid w:val="00D83ED0"/>
    <w:rsid w:val="00D8613A"/>
    <w:rsid w:val="00D90037"/>
    <w:rsid w:val="00D947C6"/>
    <w:rsid w:val="00DA13EF"/>
    <w:rsid w:val="00DA4554"/>
    <w:rsid w:val="00DA5625"/>
    <w:rsid w:val="00DA7CC4"/>
    <w:rsid w:val="00DB0B6F"/>
    <w:rsid w:val="00DB1469"/>
    <w:rsid w:val="00DB3203"/>
    <w:rsid w:val="00DB3D46"/>
    <w:rsid w:val="00DB5397"/>
    <w:rsid w:val="00DB6169"/>
    <w:rsid w:val="00DC1BE8"/>
    <w:rsid w:val="00DC2505"/>
    <w:rsid w:val="00DC3C0B"/>
    <w:rsid w:val="00DC58CF"/>
    <w:rsid w:val="00DD0A92"/>
    <w:rsid w:val="00DD2E37"/>
    <w:rsid w:val="00DD4D87"/>
    <w:rsid w:val="00DE3079"/>
    <w:rsid w:val="00DE793B"/>
    <w:rsid w:val="00DF5051"/>
    <w:rsid w:val="00DF657D"/>
    <w:rsid w:val="00DF7009"/>
    <w:rsid w:val="00DF7A13"/>
    <w:rsid w:val="00E00A22"/>
    <w:rsid w:val="00E024B6"/>
    <w:rsid w:val="00E02C99"/>
    <w:rsid w:val="00E048CE"/>
    <w:rsid w:val="00E10287"/>
    <w:rsid w:val="00E10AF7"/>
    <w:rsid w:val="00E155BE"/>
    <w:rsid w:val="00E161D6"/>
    <w:rsid w:val="00E16AEC"/>
    <w:rsid w:val="00E2302D"/>
    <w:rsid w:val="00E242F9"/>
    <w:rsid w:val="00E25EB2"/>
    <w:rsid w:val="00E277A8"/>
    <w:rsid w:val="00E319AA"/>
    <w:rsid w:val="00E34414"/>
    <w:rsid w:val="00E345C3"/>
    <w:rsid w:val="00E353CC"/>
    <w:rsid w:val="00E37862"/>
    <w:rsid w:val="00E41DF4"/>
    <w:rsid w:val="00E41FB4"/>
    <w:rsid w:val="00E44DD6"/>
    <w:rsid w:val="00E452F2"/>
    <w:rsid w:val="00E45D38"/>
    <w:rsid w:val="00E46870"/>
    <w:rsid w:val="00E54E7C"/>
    <w:rsid w:val="00E551B0"/>
    <w:rsid w:val="00E56E3D"/>
    <w:rsid w:val="00E61DBD"/>
    <w:rsid w:val="00E63976"/>
    <w:rsid w:val="00E641E9"/>
    <w:rsid w:val="00E64752"/>
    <w:rsid w:val="00E6479A"/>
    <w:rsid w:val="00E653D9"/>
    <w:rsid w:val="00E66713"/>
    <w:rsid w:val="00E70A0D"/>
    <w:rsid w:val="00E70CFB"/>
    <w:rsid w:val="00E71C08"/>
    <w:rsid w:val="00E73739"/>
    <w:rsid w:val="00E74173"/>
    <w:rsid w:val="00E7484D"/>
    <w:rsid w:val="00E77270"/>
    <w:rsid w:val="00E85557"/>
    <w:rsid w:val="00E93DF8"/>
    <w:rsid w:val="00E95ABF"/>
    <w:rsid w:val="00E95E69"/>
    <w:rsid w:val="00E95FB2"/>
    <w:rsid w:val="00EA1E15"/>
    <w:rsid w:val="00EA4FBA"/>
    <w:rsid w:val="00EA6FDA"/>
    <w:rsid w:val="00EA7D93"/>
    <w:rsid w:val="00EB24A4"/>
    <w:rsid w:val="00EB2602"/>
    <w:rsid w:val="00EB39A4"/>
    <w:rsid w:val="00EB4665"/>
    <w:rsid w:val="00EB7920"/>
    <w:rsid w:val="00EC250A"/>
    <w:rsid w:val="00EC67E9"/>
    <w:rsid w:val="00EC747F"/>
    <w:rsid w:val="00ED49D2"/>
    <w:rsid w:val="00ED5B77"/>
    <w:rsid w:val="00EE0C0C"/>
    <w:rsid w:val="00EE785A"/>
    <w:rsid w:val="00EF056F"/>
    <w:rsid w:val="00EF08B4"/>
    <w:rsid w:val="00EF12D6"/>
    <w:rsid w:val="00EF2ACB"/>
    <w:rsid w:val="00EF50BD"/>
    <w:rsid w:val="00EF5E89"/>
    <w:rsid w:val="00EF693F"/>
    <w:rsid w:val="00EF6B2C"/>
    <w:rsid w:val="00EF6D7B"/>
    <w:rsid w:val="00EF7EF7"/>
    <w:rsid w:val="00F0293B"/>
    <w:rsid w:val="00F0435C"/>
    <w:rsid w:val="00F074A4"/>
    <w:rsid w:val="00F10A63"/>
    <w:rsid w:val="00F11455"/>
    <w:rsid w:val="00F114FD"/>
    <w:rsid w:val="00F119B6"/>
    <w:rsid w:val="00F1285C"/>
    <w:rsid w:val="00F17910"/>
    <w:rsid w:val="00F205BD"/>
    <w:rsid w:val="00F236B5"/>
    <w:rsid w:val="00F25C9C"/>
    <w:rsid w:val="00F2673C"/>
    <w:rsid w:val="00F27EBB"/>
    <w:rsid w:val="00F30694"/>
    <w:rsid w:val="00F3436A"/>
    <w:rsid w:val="00F34B97"/>
    <w:rsid w:val="00F41572"/>
    <w:rsid w:val="00F42367"/>
    <w:rsid w:val="00F43B55"/>
    <w:rsid w:val="00F466DA"/>
    <w:rsid w:val="00F46A75"/>
    <w:rsid w:val="00F576D3"/>
    <w:rsid w:val="00F60C92"/>
    <w:rsid w:val="00F6782F"/>
    <w:rsid w:val="00F7349C"/>
    <w:rsid w:val="00F75594"/>
    <w:rsid w:val="00F76A06"/>
    <w:rsid w:val="00F8144E"/>
    <w:rsid w:val="00F82951"/>
    <w:rsid w:val="00F8519C"/>
    <w:rsid w:val="00F866C0"/>
    <w:rsid w:val="00F87F45"/>
    <w:rsid w:val="00F91232"/>
    <w:rsid w:val="00F92CA1"/>
    <w:rsid w:val="00F9513B"/>
    <w:rsid w:val="00F962CE"/>
    <w:rsid w:val="00F97390"/>
    <w:rsid w:val="00FA01AC"/>
    <w:rsid w:val="00FA3029"/>
    <w:rsid w:val="00FA3E9B"/>
    <w:rsid w:val="00FA6B56"/>
    <w:rsid w:val="00FB217F"/>
    <w:rsid w:val="00FB5E7A"/>
    <w:rsid w:val="00FB7B0B"/>
    <w:rsid w:val="00FC0577"/>
    <w:rsid w:val="00FC5B3C"/>
    <w:rsid w:val="00FC65A6"/>
    <w:rsid w:val="00FC7BE4"/>
    <w:rsid w:val="00FD31FD"/>
    <w:rsid w:val="00FD3346"/>
    <w:rsid w:val="00FD43A6"/>
    <w:rsid w:val="00FD4C3C"/>
    <w:rsid w:val="00FD54E2"/>
    <w:rsid w:val="00FE052F"/>
    <w:rsid w:val="00FE3395"/>
    <w:rsid w:val="00FE6452"/>
    <w:rsid w:val="00FE74BC"/>
    <w:rsid w:val="00FF2849"/>
    <w:rsid w:val="00FF4F26"/>
    <w:rsid w:val="00FF6D2D"/>
    <w:rsid w:val="00FF7614"/>
    <w:rsid w:val="01D23F28"/>
    <w:rsid w:val="0FC73FB6"/>
    <w:rsid w:val="128E0BAC"/>
    <w:rsid w:val="1E61223C"/>
    <w:rsid w:val="1F996889"/>
    <w:rsid w:val="294D2162"/>
    <w:rsid w:val="2C4D04F5"/>
    <w:rsid w:val="2CFF3E1C"/>
    <w:rsid w:val="3186220F"/>
    <w:rsid w:val="3C4E3572"/>
    <w:rsid w:val="4DC70D93"/>
    <w:rsid w:val="565C24C3"/>
    <w:rsid w:val="5A5C77E2"/>
    <w:rsid w:val="617D1116"/>
    <w:rsid w:val="67982C6F"/>
    <w:rsid w:val="6D5D19C7"/>
    <w:rsid w:val="740B5C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098E98"/>
  <w15:docId w15:val="{4CC31AED-FA52-4361-8710-269BA5E5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506076"/>
    <w:pPr>
      <w:keepNext/>
      <w:keepLines/>
      <w:numPr>
        <w:numId w:val="11"/>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06076"/>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qFormat/>
    <w:rsid w:val="00506076"/>
    <w:pPr>
      <w:numPr>
        <w:ilvl w:val="2"/>
        <w:numId w:val="11"/>
      </w:num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06076"/>
    <w:pPr>
      <w:keepNext/>
      <w:keepLines/>
      <w:numPr>
        <w:ilvl w:val="3"/>
        <w:numId w:val="11"/>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06076"/>
    <w:pPr>
      <w:keepNext/>
      <w:keepLines/>
      <w:numPr>
        <w:ilvl w:val="4"/>
        <w:numId w:val="11"/>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06076"/>
    <w:pPr>
      <w:keepNext/>
      <w:keepLines/>
      <w:numPr>
        <w:ilvl w:val="5"/>
        <w:numId w:val="11"/>
      </w:numPr>
      <w:spacing w:before="40" w:after="0" w:line="276" w:lineRule="auto"/>
      <w:outlineLvl w:val="5"/>
    </w:pPr>
    <w:rPr>
      <w:rFonts w:asciiTheme="majorHAnsi" w:eastAsiaTheme="majorEastAsia" w:hAnsiTheme="majorHAnsi" w:cstheme="majorBidi"/>
      <w:color w:val="1F4E79" w:themeColor="accent1" w:themeShade="80"/>
    </w:rPr>
  </w:style>
  <w:style w:type="paragraph" w:styleId="Titre7">
    <w:name w:val="heading 7"/>
    <w:basedOn w:val="Normal"/>
    <w:next w:val="Normal"/>
    <w:link w:val="Titre7Car"/>
    <w:uiPriority w:val="9"/>
    <w:semiHidden/>
    <w:unhideWhenUsed/>
    <w:qFormat/>
    <w:rsid w:val="00506076"/>
    <w:pPr>
      <w:keepNext/>
      <w:keepLines/>
      <w:numPr>
        <w:ilvl w:val="6"/>
        <w:numId w:val="11"/>
      </w:numPr>
      <w:spacing w:before="40" w:after="0" w:line="276" w:lineRule="auto"/>
      <w:outlineLvl w:val="6"/>
    </w:pPr>
    <w:rPr>
      <w:rFonts w:asciiTheme="majorHAnsi" w:eastAsiaTheme="majorEastAsia" w:hAnsiTheme="majorHAnsi" w:cstheme="majorBidi"/>
      <w:i/>
      <w:iCs/>
      <w:color w:val="1F4E79" w:themeColor="accent1" w:themeShade="80"/>
    </w:rPr>
  </w:style>
  <w:style w:type="paragraph" w:styleId="Titre8">
    <w:name w:val="heading 8"/>
    <w:basedOn w:val="Normal"/>
    <w:next w:val="Normal"/>
    <w:link w:val="Titre8Car"/>
    <w:uiPriority w:val="9"/>
    <w:semiHidden/>
    <w:unhideWhenUsed/>
    <w:qFormat/>
    <w:rsid w:val="00506076"/>
    <w:pPr>
      <w:keepNext/>
      <w:keepLines/>
      <w:numPr>
        <w:ilvl w:val="7"/>
        <w:numId w:val="11"/>
      </w:numPr>
      <w:spacing w:before="40" w:after="0" w:line="276" w:lineRule="auto"/>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506076"/>
    <w:pPr>
      <w:keepNext/>
      <w:keepLines/>
      <w:numPr>
        <w:ilvl w:val="8"/>
        <w:numId w:val="11"/>
      </w:numPr>
      <w:spacing w:before="40" w:after="0" w:line="276" w:lineRule="auto"/>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qFormat/>
    <w:rPr>
      <w:vertAlign w:val="superscript"/>
    </w:rPr>
  </w:style>
  <w:style w:type="paragraph" w:styleId="Notedebasdepage">
    <w:name w:val="footnote text"/>
    <w:basedOn w:val="Normal"/>
    <w:link w:val="NotedebasdepageCar"/>
    <w:uiPriority w:val="99"/>
    <w:semiHidden/>
    <w:unhideWhenUsed/>
    <w:qFormat/>
    <w:pPr>
      <w:spacing w:after="0" w:line="240" w:lineRule="auto"/>
    </w:pPr>
    <w:rPr>
      <w:rFonts w:ascii="Calibri" w:eastAsia="Calibri" w:hAnsi="Calibri" w:cs="Times New Roman"/>
      <w:sz w:val="20"/>
      <w:szCs w:val="20"/>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paragraph" w:styleId="Sansinterligne">
    <w:name w:val="No Spacing"/>
    <w:link w:val="SansinterligneCar"/>
    <w:uiPriority w:val="1"/>
    <w:qFormat/>
    <w:rPr>
      <w:rFonts w:eastAsiaTheme="minorEastAsia"/>
      <w:sz w:val="22"/>
      <w:szCs w:val="22"/>
    </w:rPr>
  </w:style>
  <w:style w:type="character" w:customStyle="1" w:styleId="SansinterligneCar">
    <w:name w:val="Sans interligne Car"/>
    <w:basedOn w:val="Policepardfaut"/>
    <w:link w:val="Sansinterligne"/>
    <w:uiPriority w:val="1"/>
    <w:rPr>
      <w:rFonts w:eastAsiaTheme="minorEastAsia"/>
      <w:lang w:eastAsia="fr-FR"/>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style>
  <w:style w:type="character" w:customStyle="1" w:styleId="NotedebasdepageCar">
    <w:name w:val="Note de bas de page Car"/>
    <w:basedOn w:val="Policepardfaut"/>
    <w:link w:val="Notedebasdepage"/>
    <w:uiPriority w:val="99"/>
    <w:semiHidden/>
    <w:rPr>
      <w:rFonts w:ascii="Calibri" w:eastAsia="Calibri" w:hAnsi="Calibri" w:cs="Times New Roman"/>
      <w:sz w:val="20"/>
      <w:szCs w:val="20"/>
    </w:rPr>
  </w:style>
  <w:style w:type="character" w:customStyle="1" w:styleId="ParagraphedelisteCar">
    <w:name w:val="Paragraphe de liste Car"/>
    <w:aliases w:val="- List tir Car,liste 1 Car,puce 1 Car,Dot pt Car,No Spacing1 Car,List Paragraph Char Char Char Car,Indicator Text Car,List Paragraph1 Car,Numbered Para 1 Car,List Paragraph12 Car,Bullet Points Car,MAIN CONTENT Car,Bullet 1 Car"/>
    <w:link w:val="Paragraphedeliste"/>
    <w:uiPriority w:val="34"/>
    <w:qFormat/>
    <w:locked/>
  </w:style>
  <w:style w:type="paragraph" w:styleId="Paragraphedeliste">
    <w:name w:val="List Paragraph"/>
    <w:aliases w:val="- List tir,liste 1,puce 1,Dot pt,No Spacing1,List Paragraph Char Char Char,Indicator Text,List Paragraph1,Numbered Para 1,List Paragraph12,Bullet Points,MAIN CONTENT,Bullet 1,Colorful List - Accent 11,References,ReferencesCxSpLast"/>
    <w:basedOn w:val="Normal"/>
    <w:link w:val="ParagraphedelisteCar"/>
    <w:uiPriority w:val="34"/>
    <w:qFormat/>
    <w:pPr>
      <w:spacing w:line="256" w:lineRule="auto"/>
      <w:ind w:left="720"/>
      <w:contextualSpacing/>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C09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3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DAB"/>
    <w:rPr>
      <w:rFonts w:ascii="Tahoma" w:hAnsi="Tahoma" w:cs="Tahoma"/>
      <w:sz w:val="16"/>
      <w:szCs w:val="16"/>
      <w:lang w:eastAsia="en-US"/>
    </w:rPr>
  </w:style>
  <w:style w:type="character" w:customStyle="1" w:styleId="Titre1Car">
    <w:name w:val="Titre 1 Car"/>
    <w:basedOn w:val="Policepardfaut"/>
    <w:link w:val="Titre1"/>
    <w:uiPriority w:val="9"/>
    <w:rsid w:val="00506076"/>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uiPriority w:val="9"/>
    <w:rsid w:val="00506076"/>
    <w:rPr>
      <w:rFonts w:asciiTheme="majorHAnsi" w:eastAsiaTheme="majorEastAsia" w:hAnsiTheme="majorHAnsi" w:cstheme="majorBidi"/>
      <w:color w:val="2E74B5" w:themeColor="accent1" w:themeShade="BF"/>
      <w:sz w:val="26"/>
      <w:szCs w:val="26"/>
      <w:lang w:eastAsia="en-US"/>
    </w:rPr>
  </w:style>
  <w:style w:type="character" w:customStyle="1" w:styleId="Titre3Car">
    <w:name w:val="Titre 3 Car"/>
    <w:basedOn w:val="Policepardfaut"/>
    <w:link w:val="Titre3"/>
    <w:uiPriority w:val="9"/>
    <w:qFormat/>
    <w:rsid w:val="00506076"/>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semiHidden/>
    <w:rsid w:val="00506076"/>
    <w:rPr>
      <w:rFonts w:asciiTheme="majorHAnsi" w:eastAsiaTheme="majorEastAsia" w:hAnsiTheme="majorHAnsi" w:cstheme="majorBidi"/>
      <w:i/>
      <w:iCs/>
      <w:color w:val="2E74B5" w:themeColor="accent1" w:themeShade="BF"/>
      <w:sz w:val="22"/>
      <w:szCs w:val="22"/>
      <w:lang w:eastAsia="en-US"/>
    </w:rPr>
  </w:style>
  <w:style w:type="character" w:customStyle="1" w:styleId="Titre5Car">
    <w:name w:val="Titre 5 Car"/>
    <w:basedOn w:val="Policepardfaut"/>
    <w:link w:val="Titre5"/>
    <w:uiPriority w:val="9"/>
    <w:semiHidden/>
    <w:rsid w:val="00506076"/>
    <w:rPr>
      <w:rFonts w:asciiTheme="majorHAnsi" w:eastAsiaTheme="majorEastAsia" w:hAnsiTheme="majorHAnsi" w:cstheme="majorBidi"/>
      <w:color w:val="2E74B5" w:themeColor="accent1" w:themeShade="BF"/>
      <w:sz w:val="22"/>
      <w:szCs w:val="22"/>
      <w:lang w:eastAsia="en-US"/>
    </w:rPr>
  </w:style>
  <w:style w:type="character" w:customStyle="1" w:styleId="Titre6Car">
    <w:name w:val="Titre 6 Car"/>
    <w:basedOn w:val="Policepardfaut"/>
    <w:link w:val="Titre6"/>
    <w:uiPriority w:val="9"/>
    <w:semiHidden/>
    <w:rsid w:val="00506076"/>
    <w:rPr>
      <w:rFonts w:asciiTheme="majorHAnsi" w:eastAsiaTheme="majorEastAsia" w:hAnsiTheme="majorHAnsi" w:cstheme="majorBidi"/>
      <w:color w:val="1F4E79" w:themeColor="accent1" w:themeShade="80"/>
      <w:sz w:val="22"/>
      <w:szCs w:val="22"/>
      <w:lang w:eastAsia="en-US"/>
    </w:rPr>
  </w:style>
  <w:style w:type="character" w:customStyle="1" w:styleId="Titre7Car">
    <w:name w:val="Titre 7 Car"/>
    <w:basedOn w:val="Policepardfaut"/>
    <w:link w:val="Titre7"/>
    <w:uiPriority w:val="9"/>
    <w:semiHidden/>
    <w:rsid w:val="00506076"/>
    <w:rPr>
      <w:rFonts w:asciiTheme="majorHAnsi" w:eastAsiaTheme="majorEastAsia" w:hAnsiTheme="majorHAnsi" w:cstheme="majorBidi"/>
      <w:i/>
      <w:iCs/>
      <w:color w:val="1F4E79" w:themeColor="accent1" w:themeShade="80"/>
      <w:sz w:val="22"/>
      <w:szCs w:val="22"/>
      <w:lang w:eastAsia="en-US"/>
    </w:rPr>
  </w:style>
  <w:style w:type="character" w:customStyle="1" w:styleId="Titre8Car">
    <w:name w:val="Titre 8 Car"/>
    <w:basedOn w:val="Policepardfaut"/>
    <w:link w:val="Titre8"/>
    <w:uiPriority w:val="9"/>
    <w:semiHidden/>
    <w:rsid w:val="00506076"/>
    <w:rPr>
      <w:rFonts w:asciiTheme="majorHAnsi" w:eastAsiaTheme="majorEastAsia" w:hAnsiTheme="majorHAnsi" w:cstheme="majorBidi"/>
      <w:color w:val="262626" w:themeColor="text1" w:themeTint="D9"/>
      <w:sz w:val="21"/>
      <w:szCs w:val="21"/>
      <w:lang w:eastAsia="en-US"/>
    </w:rPr>
  </w:style>
  <w:style w:type="character" w:customStyle="1" w:styleId="Titre9Car">
    <w:name w:val="Titre 9 Car"/>
    <w:basedOn w:val="Policepardfaut"/>
    <w:link w:val="Titre9"/>
    <w:uiPriority w:val="9"/>
    <w:semiHidden/>
    <w:rsid w:val="00506076"/>
    <w:rPr>
      <w:rFonts w:asciiTheme="majorHAnsi" w:eastAsiaTheme="majorEastAsia" w:hAnsiTheme="majorHAnsi" w:cstheme="majorBidi"/>
      <w:i/>
      <w:iCs/>
      <w:color w:val="262626" w:themeColor="text1" w:themeTint="D9"/>
      <w:sz w:val="21"/>
      <w:szCs w:val="21"/>
      <w:lang w:eastAsia="en-US"/>
    </w:rPr>
  </w:style>
  <w:style w:type="paragraph" w:styleId="Corpsdetexte">
    <w:name w:val="Body Text"/>
    <w:basedOn w:val="Normal"/>
    <w:link w:val="CorpsdetexteCar"/>
    <w:rsid w:val="00506076"/>
    <w:pPr>
      <w:widowControl w:val="0"/>
      <w:suppressAutoHyphens/>
      <w:spacing w:after="120" w:line="360" w:lineRule="auto"/>
      <w:jc w:val="both"/>
    </w:pPr>
    <w:rPr>
      <w:rFonts w:ascii="Arial" w:eastAsia="Arial Unicode MS" w:hAnsi="Arial" w:cs="Times New Roman"/>
      <w:sz w:val="21"/>
      <w:szCs w:val="24"/>
    </w:rPr>
  </w:style>
  <w:style w:type="character" w:customStyle="1" w:styleId="CorpsdetexteCar">
    <w:name w:val="Corps de texte Car"/>
    <w:basedOn w:val="Policepardfaut"/>
    <w:link w:val="Corpsdetexte"/>
    <w:rsid w:val="00506076"/>
    <w:rPr>
      <w:rFonts w:ascii="Arial" w:eastAsia="Arial Unicode MS" w:hAnsi="Arial" w:cs="Times New Roman"/>
      <w:sz w:val="21"/>
      <w:szCs w:val="24"/>
      <w:lang w:eastAsia="en-US"/>
    </w:rPr>
  </w:style>
  <w:style w:type="paragraph" w:styleId="En-ttedetabledesmatires">
    <w:name w:val="TOC Heading"/>
    <w:basedOn w:val="Titre1"/>
    <w:next w:val="Normal"/>
    <w:uiPriority w:val="39"/>
    <w:semiHidden/>
    <w:unhideWhenUsed/>
    <w:qFormat/>
    <w:rsid w:val="00655937"/>
    <w:pPr>
      <w:numPr>
        <w:numId w:val="0"/>
      </w:numPr>
      <w:spacing w:before="480"/>
      <w:outlineLvl w:val="9"/>
    </w:pPr>
    <w:rPr>
      <w:b/>
      <w:bCs/>
      <w:sz w:val="28"/>
      <w:szCs w:val="28"/>
      <w:lang w:val="fr-CA" w:eastAsia="fr-CA"/>
    </w:rPr>
  </w:style>
  <w:style w:type="paragraph" w:styleId="TM2">
    <w:name w:val="toc 2"/>
    <w:basedOn w:val="Normal"/>
    <w:next w:val="Normal"/>
    <w:autoRedefine/>
    <w:uiPriority w:val="39"/>
    <w:unhideWhenUsed/>
    <w:rsid w:val="00655937"/>
    <w:pPr>
      <w:spacing w:before="120" w:after="0"/>
      <w:ind w:left="220"/>
    </w:pPr>
    <w:rPr>
      <w:rFonts w:cstheme="minorHAnsi"/>
      <w:b/>
      <w:bCs/>
    </w:rPr>
  </w:style>
  <w:style w:type="paragraph" w:styleId="TM3">
    <w:name w:val="toc 3"/>
    <w:basedOn w:val="Normal"/>
    <w:next w:val="Normal"/>
    <w:autoRedefine/>
    <w:uiPriority w:val="39"/>
    <w:unhideWhenUsed/>
    <w:rsid w:val="00655937"/>
    <w:pPr>
      <w:spacing w:after="0"/>
      <w:ind w:left="440"/>
    </w:pPr>
    <w:rPr>
      <w:rFonts w:cstheme="minorHAnsi"/>
      <w:sz w:val="20"/>
      <w:szCs w:val="20"/>
    </w:rPr>
  </w:style>
  <w:style w:type="character" w:styleId="Lienhypertexte">
    <w:name w:val="Hyperlink"/>
    <w:basedOn w:val="Policepardfaut"/>
    <w:uiPriority w:val="99"/>
    <w:unhideWhenUsed/>
    <w:rsid w:val="00655937"/>
    <w:rPr>
      <w:color w:val="0563C1" w:themeColor="hyperlink"/>
      <w:u w:val="single"/>
    </w:rPr>
  </w:style>
  <w:style w:type="paragraph" w:styleId="TM1">
    <w:name w:val="toc 1"/>
    <w:basedOn w:val="Normal"/>
    <w:next w:val="Normal"/>
    <w:autoRedefine/>
    <w:uiPriority w:val="39"/>
    <w:unhideWhenUsed/>
    <w:rsid w:val="0075262F"/>
    <w:pPr>
      <w:spacing w:before="120" w:after="0"/>
    </w:pPr>
    <w:rPr>
      <w:rFonts w:cstheme="minorHAnsi"/>
      <w:b/>
      <w:bCs/>
      <w:i/>
      <w:iCs/>
      <w:sz w:val="24"/>
      <w:szCs w:val="24"/>
    </w:rPr>
  </w:style>
  <w:style w:type="paragraph" w:styleId="TM4">
    <w:name w:val="toc 4"/>
    <w:basedOn w:val="Normal"/>
    <w:next w:val="Normal"/>
    <w:autoRedefine/>
    <w:uiPriority w:val="39"/>
    <w:unhideWhenUsed/>
    <w:rsid w:val="000B5599"/>
    <w:pPr>
      <w:spacing w:after="0"/>
      <w:ind w:left="660"/>
    </w:pPr>
    <w:rPr>
      <w:rFonts w:cstheme="minorHAnsi"/>
      <w:sz w:val="20"/>
      <w:szCs w:val="20"/>
    </w:rPr>
  </w:style>
  <w:style w:type="paragraph" w:styleId="TM5">
    <w:name w:val="toc 5"/>
    <w:basedOn w:val="Normal"/>
    <w:next w:val="Normal"/>
    <w:autoRedefine/>
    <w:uiPriority w:val="39"/>
    <w:unhideWhenUsed/>
    <w:rsid w:val="000B5599"/>
    <w:pPr>
      <w:spacing w:after="0"/>
      <w:ind w:left="880"/>
    </w:pPr>
    <w:rPr>
      <w:rFonts w:cstheme="minorHAnsi"/>
      <w:sz w:val="20"/>
      <w:szCs w:val="20"/>
    </w:rPr>
  </w:style>
  <w:style w:type="paragraph" w:styleId="TM6">
    <w:name w:val="toc 6"/>
    <w:basedOn w:val="Normal"/>
    <w:next w:val="Normal"/>
    <w:autoRedefine/>
    <w:uiPriority w:val="39"/>
    <w:unhideWhenUsed/>
    <w:rsid w:val="000B5599"/>
    <w:pPr>
      <w:spacing w:after="0"/>
      <w:ind w:left="1100"/>
    </w:pPr>
    <w:rPr>
      <w:rFonts w:cstheme="minorHAnsi"/>
      <w:sz w:val="20"/>
      <w:szCs w:val="20"/>
    </w:rPr>
  </w:style>
  <w:style w:type="paragraph" w:styleId="TM7">
    <w:name w:val="toc 7"/>
    <w:basedOn w:val="Normal"/>
    <w:next w:val="Normal"/>
    <w:autoRedefine/>
    <w:uiPriority w:val="39"/>
    <w:unhideWhenUsed/>
    <w:rsid w:val="000B5599"/>
    <w:pPr>
      <w:spacing w:after="0"/>
      <w:ind w:left="1320"/>
    </w:pPr>
    <w:rPr>
      <w:rFonts w:cstheme="minorHAnsi"/>
      <w:sz w:val="20"/>
      <w:szCs w:val="20"/>
    </w:rPr>
  </w:style>
  <w:style w:type="paragraph" w:styleId="TM8">
    <w:name w:val="toc 8"/>
    <w:basedOn w:val="Normal"/>
    <w:next w:val="Normal"/>
    <w:autoRedefine/>
    <w:uiPriority w:val="39"/>
    <w:unhideWhenUsed/>
    <w:rsid w:val="000B5599"/>
    <w:pPr>
      <w:spacing w:after="0"/>
      <w:ind w:left="1540"/>
    </w:pPr>
    <w:rPr>
      <w:rFonts w:cstheme="minorHAnsi"/>
      <w:sz w:val="20"/>
      <w:szCs w:val="20"/>
    </w:rPr>
  </w:style>
  <w:style w:type="paragraph" w:styleId="TM9">
    <w:name w:val="toc 9"/>
    <w:basedOn w:val="Normal"/>
    <w:next w:val="Normal"/>
    <w:autoRedefine/>
    <w:uiPriority w:val="39"/>
    <w:unhideWhenUsed/>
    <w:rsid w:val="000B5599"/>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67633">
      <w:bodyDiv w:val="1"/>
      <w:marLeft w:val="0"/>
      <w:marRight w:val="0"/>
      <w:marTop w:val="0"/>
      <w:marBottom w:val="0"/>
      <w:divBdr>
        <w:top w:val="none" w:sz="0" w:space="0" w:color="auto"/>
        <w:left w:val="none" w:sz="0" w:space="0" w:color="auto"/>
        <w:bottom w:val="none" w:sz="0" w:space="0" w:color="auto"/>
        <w:right w:val="none" w:sz="0" w:space="0" w:color="auto"/>
      </w:divBdr>
    </w:div>
    <w:div w:id="954680827">
      <w:bodyDiv w:val="1"/>
      <w:marLeft w:val="0"/>
      <w:marRight w:val="0"/>
      <w:marTop w:val="0"/>
      <w:marBottom w:val="0"/>
      <w:divBdr>
        <w:top w:val="none" w:sz="0" w:space="0" w:color="auto"/>
        <w:left w:val="none" w:sz="0" w:space="0" w:color="auto"/>
        <w:bottom w:val="none" w:sz="0" w:space="0" w:color="auto"/>
        <w:right w:val="none" w:sz="0" w:space="0" w:color="auto"/>
      </w:divBdr>
    </w:div>
    <w:div w:id="979042895">
      <w:bodyDiv w:val="1"/>
      <w:marLeft w:val="0"/>
      <w:marRight w:val="0"/>
      <w:marTop w:val="0"/>
      <w:marBottom w:val="0"/>
      <w:divBdr>
        <w:top w:val="none" w:sz="0" w:space="0" w:color="auto"/>
        <w:left w:val="none" w:sz="0" w:space="0" w:color="auto"/>
        <w:bottom w:val="none" w:sz="0" w:space="0" w:color="auto"/>
        <w:right w:val="none" w:sz="0" w:space="0" w:color="auto"/>
      </w:divBdr>
    </w:div>
    <w:div w:id="1042823225">
      <w:bodyDiv w:val="1"/>
      <w:marLeft w:val="0"/>
      <w:marRight w:val="0"/>
      <w:marTop w:val="0"/>
      <w:marBottom w:val="0"/>
      <w:divBdr>
        <w:top w:val="none" w:sz="0" w:space="0" w:color="auto"/>
        <w:left w:val="none" w:sz="0" w:space="0" w:color="auto"/>
        <w:bottom w:val="none" w:sz="0" w:space="0" w:color="auto"/>
        <w:right w:val="none" w:sz="0" w:space="0" w:color="auto"/>
      </w:divBdr>
    </w:div>
    <w:div w:id="1110130606">
      <w:bodyDiv w:val="1"/>
      <w:marLeft w:val="0"/>
      <w:marRight w:val="0"/>
      <w:marTop w:val="0"/>
      <w:marBottom w:val="0"/>
      <w:divBdr>
        <w:top w:val="none" w:sz="0" w:space="0" w:color="auto"/>
        <w:left w:val="none" w:sz="0" w:space="0" w:color="auto"/>
        <w:bottom w:val="none" w:sz="0" w:space="0" w:color="auto"/>
        <w:right w:val="none" w:sz="0" w:space="0" w:color="auto"/>
      </w:divBdr>
    </w:div>
    <w:div w:id="1350715908">
      <w:bodyDiv w:val="1"/>
      <w:marLeft w:val="0"/>
      <w:marRight w:val="0"/>
      <w:marTop w:val="0"/>
      <w:marBottom w:val="0"/>
      <w:divBdr>
        <w:top w:val="none" w:sz="0" w:space="0" w:color="auto"/>
        <w:left w:val="none" w:sz="0" w:space="0" w:color="auto"/>
        <w:bottom w:val="none" w:sz="0" w:space="0" w:color="auto"/>
        <w:right w:val="none" w:sz="0" w:space="0" w:color="auto"/>
      </w:divBdr>
    </w:div>
    <w:div w:id="1621302220">
      <w:bodyDiv w:val="1"/>
      <w:marLeft w:val="0"/>
      <w:marRight w:val="0"/>
      <w:marTop w:val="0"/>
      <w:marBottom w:val="0"/>
      <w:divBdr>
        <w:top w:val="none" w:sz="0" w:space="0" w:color="auto"/>
        <w:left w:val="none" w:sz="0" w:space="0" w:color="auto"/>
        <w:bottom w:val="none" w:sz="0" w:space="0" w:color="auto"/>
        <w:right w:val="none" w:sz="0" w:space="0" w:color="auto"/>
      </w:divBdr>
    </w:div>
    <w:div w:id="1662654977">
      <w:bodyDiv w:val="1"/>
      <w:marLeft w:val="0"/>
      <w:marRight w:val="0"/>
      <w:marTop w:val="0"/>
      <w:marBottom w:val="0"/>
      <w:divBdr>
        <w:top w:val="none" w:sz="0" w:space="0" w:color="auto"/>
        <w:left w:val="none" w:sz="0" w:space="0" w:color="auto"/>
        <w:bottom w:val="none" w:sz="0" w:space="0" w:color="auto"/>
        <w:right w:val="none" w:sz="0" w:space="0" w:color="auto"/>
      </w:divBdr>
    </w:div>
    <w:div w:id="1779443642">
      <w:bodyDiv w:val="1"/>
      <w:marLeft w:val="0"/>
      <w:marRight w:val="0"/>
      <w:marTop w:val="0"/>
      <w:marBottom w:val="0"/>
      <w:divBdr>
        <w:top w:val="none" w:sz="0" w:space="0" w:color="auto"/>
        <w:left w:val="none" w:sz="0" w:space="0" w:color="auto"/>
        <w:bottom w:val="none" w:sz="0" w:space="0" w:color="auto"/>
        <w:right w:val="none" w:sz="0" w:space="0" w:color="auto"/>
      </w:divBdr>
    </w:div>
    <w:div w:id="1855340633">
      <w:bodyDiv w:val="1"/>
      <w:marLeft w:val="0"/>
      <w:marRight w:val="0"/>
      <w:marTop w:val="0"/>
      <w:marBottom w:val="0"/>
      <w:divBdr>
        <w:top w:val="none" w:sz="0" w:space="0" w:color="auto"/>
        <w:left w:val="none" w:sz="0" w:space="0" w:color="auto"/>
        <w:bottom w:val="none" w:sz="0" w:space="0" w:color="auto"/>
        <w:right w:val="none" w:sz="0" w:space="0" w:color="auto"/>
      </w:divBdr>
    </w:div>
    <w:div w:id="2047371572">
      <w:bodyDiv w:val="1"/>
      <w:marLeft w:val="0"/>
      <w:marRight w:val="0"/>
      <w:marTop w:val="0"/>
      <w:marBottom w:val="0"/>
      <w:divBdr>
        <w:top w:val="none" w:sz="0" w:space="0" w:color="auto"/>
        <w:left w:val="none" w:sz="0" w:space="0" w:color="auto"/>
        <w:bottom w:val="none" w:sz="0" w:space="0" w:color="auto"/>
        <w:right w:val="none" w:sz="0" w:space="0" w:color="auto"/>
      </w:divBdr>
    </w:div>
    <w:div w:id="212037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20CAMARA\Desktop\CENTIF%20LBCFT%20PM\Step%202-3\1%20SA\4%20MB%20Step%203%20Master%20(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20CAMARA\Desktop\CENTIF%20LBCFT%20PM\Step%202-3\1%20SA\4%20MB%20Step%203%20Master%20S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20CAMARA\Desktop\CENTIF%20LBCFT%20PM\Step%202-3\4%20SI\4%20MB%20Step%203%20Master%20(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4536536832204957E-2"/>
          <c:y val="0.10609867490762025"/>
          <c:w val="0.94498304197661376"/>
          <c:h val="0.81301898776073267"/>
        </c:manualLayout>
      </c:layout>
      <c:bubbleChart>
        <c:varyColors val="0"/>
        <c:ser>
          <c:idx val="0"/>
          <c:order val="0"/>
          <c:tx>
            <c:strRef>
              <c:f>'D_Risk Plot'!$C$2</c:f>
              <c:strCache>
                <c:ptCount val="1"/>
                <c:pt idx="0">
                  <c:v>Scores de risque</c:v>
                </c:pt>
              </c:strCache>
            </c:strRef>
          </c:tx>
          <c:spPr>
            <a:solidFill>
              <a:schemeClr val="accent1">
                <a:alpha val="75000"/>
              </a:schemeClr>
            </a:solidFill>
            <a:ln w="25400">
              <a:noFill/>
            </a:ln>
            <a:effectLst/>
          </c:spPr>
          <c:invertIfNegative val="0"/>
          <c:xVal>
            <c:strRef>
              <c:f>'D_Risk Plot'!$B$3:$B$22</c:f>
              <c:strCache>
                <c:ptCount val="20"/>
                <c:pt idx="0">
                  <c:v>SA -ASSIMILEES</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strCache>
            </c:strRef>
          </c:xVal>
          <c:yVal>
            <c:numRef>
              <c:f>'D_Risk Plot'!$C$3:$C$22</c:f>
              <c:numCache>
                <c:formatCode>0.00</c:formatCode>
                <c:ptCount val="20"/>
                <c:pt idx="0">
                  <c:v>0.45</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yVal>
          <c:bubbleSize>
            <c:numRef>
              <c:f>'D_Risk Plot'!$D$3:$D$22</c:f>
              <c:numCache>
                <c:formatCode>0.00</c:formatCode>
                <c:ptCount val="20"/>
                <c:pt idx="0">
                  <c:v>0.7</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bubbleSize>
          <c:bubble3D val="1"/>
          <c:extLst>
            <c:ext xmlns:c16="http://schemas.microsoft.com/office/drawing/2014/chart" uri="{C3380CC4-5D6E-409C-BE32-E72D297353CC}">
              <c16:uniqueId val="{00000000-D66E-422C-9E83-79C67B8096AD}"/>
            </c:ext>
          </c:extLst>
        </c:ser>
        <c:dLbls>
          <c:showLegendKey val="0"/>
          <c:showVal val="0"/>
          <c:showCatName val="0"/>
          <c:showSerName val="0"/>
          <c:showPercent val="0"/>
          <c:showBubbleSize val="0"/>
        </c:dLbls>
        <c:bubbleScale val="100"/>
        <c:showNegBubbles val="0"/>
        <c:axId val="320188800"/>
        <c:axId val="320190336"/>
      </c:bubbleChart>
      <c:valAx>
        <c:axId val="320188800"/>
        <c:scaling>
          <c:orientation val="minMax"/>
          <c:max val="25"/>
          <c:min val="0"/>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0190336"/>
        <c:crossesAt val="0"/>
        <c:crossBetween val="midCat"/>
        <c:majorUnit val="1"/>
      </c:valAx>
      <c:valAx>
        <c:axId val="320190336"/>
        <c:scaling>
          <c:orientation val="minMax"/>
          <c:min val="0"/>
        </c:scaling>
        <c:delete val="0"/>
        <c:axPos val="l"/>
        <c:majorGridlines>
          <c:spPr>
            <a:ln w="9525" cap="flat" cmpd="sng" algn="ctr">
              <a:solidFill>
                <a:schemeClr val="bg1"/>
              </a:solidFill>
              <a:prstDash val="dash"/>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0188800"/>
        <c:crossesAt val="0"/>
        <c:crossBetween val="midCat"/>
      </c:valAx>
      <c:spPr>
        <a:gradFill flip="none" rotWithShape="1">
          <a:gsLst>
            <a:gs pos="0">
              <a:srgbClr val="FF0000"/>
            </a:gs>
            <a:gs pos="67000">
              <a:schemeClr val="accent4">
                <a:lumMod val="60000"/>
                <a:lumOff val="40000"/>
              </a:schemeClr>
            </a:gs>
            <a:gs pos="38000">
              <a:schemeClr val="accent2">
                <a:lumMod val="60000"/>
                <a:lumOff val="40000"/>
              </a:schemeClr>
            </a:gs>
            <a:gs pos="100000">
              <a:schemeClr val="accent6"/>
            </a:gs>
          </a:gsLst>
          <a:lin ang="5400000" scaled="1"/>
          <a:tileRect/>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4536536832204957E-2"/>
          <c:y val="0.10609867490762025"/>
          <c:w val="0.94498304197661376"/>
          <c:h val="0.81301898776073267"/>
        </c:manualLayout>
      </c:layout>
      <c:bubbleChart>
        <c:varyColors val="0"/>
        <c:ser>
          <c:idx val="0"/>
          <c:order val="0"/>
          <c:tx>
            <c:strRef>
              <c:f>'D_Risk Plot'!$C$2</c:f>
              <c:strCache>
                <c:ptCount val="1"/>
                <c:pt idx="0">
                  <c:v>Scores de risque</c:v>
                </c:pt>
              </c:strCache>
            </c:strRef>
          </c:tx>
          <c:spPr>
            <a:solidFill>
              <a:schemeClr val="accent1">
                <a:alpha val="75000"/>
              </a:schemeClr>
            </a:solidFill>
            <a:ln w="25400">
              <a:noFill/>
            </a:ln>
            <a:effectLst/>
          </c:spPr>
          <c:invertIfNegative val="0"/>
          <c:xVal>
            <c:strRef>
              <c:f>'D_Risk Plot'!$B$3:$B$22</c:f>
              <c:strCache>
                <c:ptCount val="20"/>
                <c:pt idx="0">
                  <c:v>SA -ASSIMILEES</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strCache>
            </c:strRef>
          </c:xVal>
          <c:yVal>
            <c:numRef>
              <c:f>'D_Risk Plot'!$C$3:$C$22</c:f>
              <c:numCache>
                <c:formatCode>0.00</c:formatCode>
                <c:ptCount val="20"/>
                <c:pt idx="0">
                  <c:v>0.45</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yVal>
          <c:bubbleSize>
            <c:numRef>
              <c:f>'D_Risk Plot'!$D$3:$D$22</c:f>
              <c:numCache>
                <c:formatCode>0.00</c:formatCode>
                <c:ptCount val="20"/>
                <c:pt idx="0">
                  <c:v>0.7</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bubbleSize>
          <c:bubble3D val="1"/>
          <c:extLst>
            <c:ext xmlns:c16="http://schemas.microsoft.com/office/drawing/2014/chart" uri="{C3380CC4-5D6E-409C-BE32-E72D297353CC}">
              <c16:uniqueId val="{00000000-D66E-422C-9E83-79C67B8096AD}"/>
            </c:ext>
          </c:extLst>
        </c:ser>
        <c:dLbls>
          <c:showLegendKey val="0"/>
          <c:showVal val="0"/>
          <c:showCatName val="0"/>
          <c:showSerName val="0"/>
          <c:showPercent val="0"/>
          <c:showBubbleSize val="0"/>
        </c:dLbls>
        <c:bubbleScale val="100"/>
        <c:showNegBubbles val="0"/>
        <c:axId val="321989248"/>
        <c:axId val="322007424"/>
      </c:bubbleChart>
      <c:valAx>
        <c:axId val="321989248"/>
        <c:scaling>
          <c:orientation val="minMax"/>
          <c:max val="25"/>
          <c:min val="0"/>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2007424"/>
        <c:crossesAt val="0"/>
        <c:crossBetween val="midCat"/>
        <c:majorUnit val="1"/>
      </c:valAx>
      <c:valAx>
        <c:axId val="322007424"/>
        <c:scaling>
          <c:orientation val="minMax"/>
          <c:min val="0"/>
        </c:scaling>
        <c:delete val="0"/>
        <c:axPos val="l"/>
        <c:majorGridlines>
          <c:spPr>
            <a:ln w="9525" cap="flat" cmpd="sng" algn="ctr">
              <a:solidFill>
                <a:schemeClr val="bg1"/>
              </a:solidFill>
              <a:prstDash val="dash"/>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1989248"/>
        <c:crossesAt val="0"/>
        <c:crossBetween val="midCat"/>
      </c:valAx>
      <c:spPr>
        <a:gradFill flip="none" rotWithShape="1">
          <a:gsLst>
            <a:gs pos="0">
              <a:srgbClr val="FF0000"/>
            </a:gs>
            <a:gs pos="67000">
              <a:schemeClr val="accent4">
                <a:lumMod val="60000"/>
                <a:lumOff val="40000"/>
              </a:schemeClr>
            </a:gs>
            <a:gs pos="38000">
              <a:schemeClr val="accent2">
                <a:lumMod val="60000"/>
                <a:lumOff val="40000"/>
              </a:schemeClr>
            </a:gs>
            <a:gs pos="100000">
              <a:schemeClr val="accent6"/>
            </a:gs>
          </a:gsLst>
          <a:lin ang="5400000" scaled="1"/>
          <a:tileRect/>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4536536832204957E-2"/>
          <c:y val="0.10609867490762025"/>
          <c:w val="0.94498304197661376"/>
          <c:h val="0.81301898776073267"/>
        </c:manualLayout>
      </c:layout>
      <c:bubbleChart>
        <c:varyColors val="0"/>
        <c:ser>
          <c:idx val="0"/>
          <c:order val="0"/>
          <c:tx>
            <c:strRef>
              <c:f>'F_Risk Plot'!$C$2</c:f>
              <c:strCache>
                <c:ptCount val="1"/>
                <c:pt idx="0">
                  <c:v>Scores de risque</c:v>
                </c:pt>
              </c:strCache>
            </c:strRef>
          </c:tx>
          <c:spPr>
            <a:solidFill>
              <a:schemeClr val="accent1">
                <a:alpha val="75000"/>
              </a:schemeClr>
            </a:solidFill>
            <a:ln w="25400">
              <a:noFill/>
            </a:ln>
            <a:effectLst/>
          </c:spPr>
          <c:invertIfNegative val="0"/>
          <c:xVal>
            <c:strRef>
              <c:f>'F_Risk Plot'!$B$3:$B$22</c:f>
              <c:strCache>
                <c:ptCount val="20"/>
                <c:pt idx="0">
                  <c:v>SI MALI</c:v>
                </c:pt>
                <c:pt idx="1">
                  <c:v> </c:v>
                </c:pt>
                <c:pt idx="2">
                  <c:v> </c:v>
                </c:pt>
                <c:pt idx="3">
                  <c:v> </c:v>
                </c:pt>
                <c:pt idx="4">
                  <c:v> </c:v>
                </c:pt>
                <c:pt idx="5">
                  <c:v> </c:v>
                </c:pt>
                <c:pt idx="6">
                  <c:v> Variables intermédiaires+C2:E2</c:v>
                </c:pt>
                <c:pt idx="7">
                  <c:v> </c:v>
                </c:pt>
                <c:pt idx="8">
                  <c:v> </c:v>
                </c:pt>
                <c:pt idx="9">
                  <c:v> </c:v>
                </c:pt>
                <c:pt idx="10">
                  <c:v> </c:v>
                </c:pt>
                <c:pt idx="11">
                  <c:v> </c:v>
                </c:pt>
                <c:pt idx="12">
                  <c:v> </c:v>
                </c:pt>
                <c:pt idx="13">
                  <c:v> </c:v>
                </c:pt>
                <c:pt idx="14">
                  <c:v> </c:v>
                </c:pt>
                <c:pt idx="15">
                  <c:v> </c:v>
                </c:pt>
                <c:pt idx="16">
                  <c:v> </c:v>
                </c:pt>
                <c:pt idx="17">
                  <c:v> </c:v>
                </c:pt>
                <c:pt idx="18">
                  <c:v> </c:v>
                </c:pt>
                <c:pt idx="19">
                  <c:v> </c:v>
                </c:pt>
              </c:strCache>
            </c:strRef>
          </c:xVal>
          <c:yVal>
            <c:numRef>
              <c:f>'F_Risk Plot'!$C$3:$C$22</c:f>
              <c:numCache>
                <c:formatCode>0.00</c:formatCode>
                <c:ptCount val="20"/>
                <c:pt idx="0">
                  <c:v>0.56999999999999995</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yVal>
          <c:bubbleSize>
            <c:numRef>
              <c:f>'F_Risk Plot'!$D$3:$D$22</c:f>
              <c:numCache>
                <c:formatCode>0.00</c:formatCode>
                <c:ptCount val="20"/>
                <c:pt idx="0">
                  <c:v>0.7</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bubbleSize>
          <c:bubble3D val="1"/>
          <c:extLst>
            <c:ext xmlns:c16="http://schemas.microsoft.com/office/drawing/2014/chart" uri="{C3380CC4-5D6E-409C-BE32-E72D297353CC}">
              <c16:uniqueId val="{00000000-4C9E-4FBC-A9F8-ACE4007EC374}"/>
            </c:ext>
          </c:extLst>
        </c:ser>
        <c:dLbls>
          <c:showLegendKey val="0"/>
          <c:showVal val="0"/>
          <c:showCatName val="0"/>
          <c:showSerName val="0"/>
          <c:showPercent val="0"/>
          <c:showBubbleSize val="0"/>
        </c:dLbls>
        <c:bubbleScale val="100"/>
        <c:showNegBubbles val="0"/>
        <c:axId val="128193664"/>
        <c:axId val="128195200"/>
      </c:bubbleChart>
      <c:valAx>
        <c:axId val="128193664"/>
        <c:scaling>
          <c:orientation val="minMax"/>
          <c:max val="25"/>
          <c:min val="0"/>
        </c:scaling>
        <c:delete val="0"/>
        <c:axPos val="b"/>
        <c:majorGridlines>
          <c:spPr>
            <a:ln w="9525" cap="flat" cmpd="sng" algn="ctr">
              <a:no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8195200"/>
        <c:crossesAt val="0"/>
        <c:crossBetween val="midCat"/>
        <c:majorUnit val="1"/>
      </c:valAx>
      <c:valAx>
        <c:axId val="128195200"/>
        <c:scaling>
          <c:orientation val="minMax"/>
          <c:min val="0"/>
        </c:scaling>
        <c:delete val="0"/>
        <c:axPos val="l"/>
        <c:majorGridlines>
          <c:spPr>
            <a:ln w="9525" cap="flat" cmpd="sng" algn="ctr">
              <a:solidFill>
                <a:schemeClr val="bg1"/>
              </a:solidFill>
              <a:prstDash val="dash"/>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8193664"/>
        <c:crossesAt val="0"/>
        <c:crossBetween val="midCat"/>
      </c:valAx>
      <c:spPr>
        <a:gradFill flip="none" rotWithShape="1">
          <a:gsLst>
            <a:gs pos="0">
              <a:srgbClr val="FF0000"/>
            </a:gs>
            <a:gs pos="67000">
              <a:schemeClr val="accent4">
                <a:lumMod val="60000"/>
                <a:lumOff val="40000"/>
              </a:schemeClr>
            </a:gs>
            <a:gs pos="38000">
              <a:schemeClr val="accent2">
                <a:lumMod val="60000"/>
                <a:lumOff val="40000"/>
              </a:schemeClr>
            </a:gs>
            <a:gs pos="100000">
              <a:schemeClr val="accent6"/>
            </a:gs>
          </a:gsLst>
          <a:lin ang="5400000" scaled="1"/>
          <a:tileRect/>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78B38CD-84B0-4FF7-B667-A32528EFA1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14061</Words>
  <Characters>77338</Characters>
  <Application>Microsoft Office Word</Application>
  <DocSecurity>0</DocSecurity>
  <Lines>644</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Padialou OUOLOGUEM</dc:creator>
  <cp:lastModifiedBy>Idrissa Mahamar HAIDARA</cp:lastModifiedBy>
  <cp:revision>2</cp:revision>
  <dcterms:created xsi:type="dcterms:W3CDTF">2023-04-12T12:53:00Z</dcterms:created>
  <dcterms:modified xsi:type="dcterms:W3CDTF">2023-04-12T12:53:00Z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1036-11.2.0.11417</vt:lpwstr>
  </property>
  <property fmtid="{D5CDD505-2E9C-101B-9397-08002B2CF9AE}" pid="3" name="ICV">
    <vt:lpwstr>AA9D81D5920746C98DAAD07C7784B7B3</vt:lpwstr>
  </property>
</Properties>
</file>