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174"/>
        <w:gridCol w:w="2070"/>
      </w:tblGrid>
      <w:tr w:rsidR="00273F48" w:rsidRPr="000921FA" w14:paraId="1DF4449E" w14:textId="77777777" w:rsidTr="00273F48">
        <w:tc>
          <w:tcPr>
            <w:tcW w:w="2116" w:type="dxa"/>
          </w:tcPr>
          <w:p w14:paraId="2FCFB46C" w14:textId="07723828" w:rsidR="00273F48" w:rsidRPr="000921FA" w:rsidRDefault="00273F48" w:rsidP="005A5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0921FA">
              <w:rPr>
                <w:rFonts w:ascii="Times New Roman" w:hAnsi="Times New Roman" w:cs="Times New Roman"/>
                <w:noProof/>
                <w:lang w:val="pt-PT"/>
              </w:rPr>
              <w:drawing>
                <wp:inline distT="0" distB="0" distL="0" distR="0" wp14:anchorId="087C5CD0" wp14:editId="664A7806">
                  <wp:extent cx="1206500" cy="804289"/>
                  <wp:effectExtent l="0" t="0" r="0" b="0"/>
                  <wp:docPr id="4" name="Picture 4" descr="132 European Union Symbol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2 European Union Symbol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07" cy="83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14:paraId="4E4965A8" w14:textId="6374302B" w:rsidR="00273F48" w:rsidRPr="000921FA" w:rsidRDefault="00273F48" w:rsidP="005A5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0921FA">
              <w:rPr>
                <w:rFonts w:ascii="Times New Roman" w:hAnsi="Times New Roman" w:cs="Times New Roman"/>
                <w:b/>
                <w:bCs/>
                <w:noProof/>
                <w:lang w:val="pt-PT"/>
              </w:rPr>
              <w:drawing>
                <wp:inline distT="0" distB="0" distL="0" distR="0" wp14:anchorId="341376C5" wp14:editId="7332B51A">
                  <wp:extent cx="846666" cy="8466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17" cy="85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0CDB060" w14:textId="2E4CF270" w:rsidR="00273F48" w:rsidRPr="000921FA" w:rsidRDefault="00273F48" w:rsidP="005A5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0921FA">
              <w:rPr>
                <w:rFonts w:ascii="Times New Roman" w:hAnsi="Times New Roman" w:cs="Times New Roman"/>
                <w:b/>
                <w:bCs/>
                <w:noProof/>
                <w:lang w:val="pt-PT"/>
              </w:rPr>
              <w:drawing>
                <wp:inline distT="0" distB="0" distL="0" distR="0" wp14:anchorId="58FD760C" wp14:editId="0EA68F84">
                  <wp:extent cx="682752" cy="810768"/>
                  <wp:effectExtent l="0" t="0" r="3175" b="889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81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E91BC" w14:textId="046195BB" w:rsidR="00273F48" w:rsidRPr="000921FA" w:rsidRDefault="00273F48" w:rsidP="005A58BB">
      <w:pPr>
        <w:spacing w:line="36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p w14:paraId="161B8D8A" w14:textId="284AE5CC" w:rsidR="009A2D51" w:rsidRPr="000921FA" w:rsidRDefault="009A2D51" w:rsidP="00983D0D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  <w:lang w:val="pt-PT"/>
        </w:rPr>
      </w:pPr>
      <w:bookmarkStart w:id="0" w:name="_Hlk77184586"/>
      <w:r w:rsidRPr="000921FA">
        <w:rPr>
          <w:rFonts w:ascii="Times New Roman" w:hAnsi="Times New Roman" w:cs="Times New Roman"/>
          <w:b/>
          <w:bCs/>
          <w:u w:val="single"/>
          <w:lang w:val="pt-PT"/>
        </w:rPr>
        <w:t>SOLICITAÇÃO DE MANIFESTAÇÃO DE INTERESSE PARA REALIZAR UMA AVALIAÇÃO DE BRANQUEAMENTO DE CAPITAIS, FINANCIAMENTO DO TERRORISMO E FLUXOS FINANCEIROS ILÍCITOS LIGADOS À CRIMINALIDADE MARÍTIMA NO GOLFO DA GUINÉ</w:t>
      </w:r>
    </w:p>
    <w:bookmarkEnd w:id="0"/>
    <w:p w14:paraId="3C01BF28" w14:textId="77777777" w:rsidR="00983D0D" w:rsidRPr="000921FA" w:rsidRDefault="00983D0D" w:rsidP="00692381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51C8E82B" w14:textId="0B4D0074" w:rsidR="003B4973" w:rsidRPr="000921FA" w:rsidRDefault="009B0CF1" w:rsidP="00692381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0921FA">
        <w:rPr>
          <w:rFonts w:ascii="Times New Roman" w:hAnsi="Times New Roman" w:cs="Times New Roman"/>
          <w:b/>
          <w:bCs/>
          <w:lang w:val="pt-PT"/>
        </w:rPr>
        <w:t>CONTEXTO</w:t>
      </w:r>
    </w:p>
    <w:p w14:paraId="4B582880" w14:textId="77777777" w:rsidR="00D65260" w:rsidRPr="000921FA" w:rsidRDefault="00D65260" w:rsidP="00D65260">
      <w:pPr>
        <w:pStyle w:val="Paragraphedeliste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67ABC2CD" w14:textId="77777777" w:rsidR="001C796F" w:rsidRPr="000921FA" w:rsidRDefault="001C796F" w:rsidP="001C796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 xml:space="preserve">O vasto Golfo da Guiné, que se estende de Cabo Verde a Angola, é um importante centro de trânsito e facilitador do rápido crescimento económico da região, que tem sido em média de 7% desde 2012. O Golfo da Guiné tornou-se também um centro de abastecimento global de energia, com quantidades significativas de todos os produtos petrolíferos consumidos na Europa, América do Norte e Ásia que transitam por esta via navegável. </w:t>
      </w:r>
      <w:r w:rsidRPr="000921FA">
        <w:rPr>
          <w:rFonts w:ascii="Times New Roman" w:hAnsi="Times New Roman" w:cs="Times New Roman"/>
          <w:b/>
          <w:bCs/>
          <w:lang w:val="pt-PT"/>
        </w:rPr>
        <w:t>Este boom económico, porém, veio com graves ameaças à segurança, em particular no espaço marítimo do Golfo da Guiné.</w:t>
      </w:r>
    </w:p>
    <w:p w14:paraId="4E3CC638" w14:textId="5BDDDD03" w:rsidR="00E11F5D" w:rsidRPr="000921FA" w:rsidRDefault="00E11F5D" w:rsidP="00E11F5D">
      <w:pPr>
        <w:pStyle w:val="Paragraphedeliste"/>
        <w:jc w:val="both"/>
        <w:rPr>
          <w:rFonts w:ascii="Times New Roman" w:hAnsi="Times New Roman" w:cs="Times New Roman"/>
          <w:b/>
          <w:bCs/>
          <w:lang w:val="pt-PT"/>
        </w:rPr>
      </w:pP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 xml:space="preserve"> </w:t>
      </w:r>
    </w:p>
    <w:p w14:paraId="3F023BAA" w14:textId="7822CC1E" w:rsidR="001C796F" w:rsidRPr="000921FA" w:rsidRDefault="001C796F" w:rsidP="001C796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O número de ataques à navegação no Golfo da Guiné é assustadoramente elevado, com o Gabinete Marítimo Internacional (GMI) a reportar um total de 82 incidentes de pirataria e 130 raptos de marinheiros, de longe os maiores do mundo. Embora a tendência tenha diminuído ligeiramente em 2021, a região continua a ser traiçoeira, sendo responsável "por todos os 50 tripulantes raptados e pela única ocorrência fatal com uma tripulação registada pelo GMI" em 2021.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Supõe-se que muitos dos roubos de navios são oportunistas, particularmente em áreas portuárias maiores como Lagos na Nigéria.</w:t>
      </w:r>
    </w:p>
    <w:p w14:paraId="3F7F19DA" w14:textId="77777777" w:rsidR="0009678B" w:rsidRPr="000921FA" w:rsidRDefault="0009678B" w:rsidP="0009678B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</w:p>
    <w:p w14:paraId="69FD8FB6" w14:textId="6F236DD5" w:rsidR="0009678B" w:rsidRPr="000921FA" w:rsidRDefault="0009678B" w:rsidP="001C796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Podem estar envolvidos vários intervenientes diferentes, incluindo membros corruptos das forças de segurança e grupos militantes regionais, tais como os Vingadores do Delta do Níger, por vezes trabalhando em conluio. Grande parte do petróleo roubado que é processado em "refinarias de mato" artesanais é depois vendido diretamente a grossistas, estações de serviço ou ao longo da estrada. Embora os produtos petrolíferos nigerianos ilegais sejam amplamente vendidos a motoristas no Benim, </w:t>
      </w:r>
      <w:r w:rsidR="0038524D">
        <w:rPr>
          <w:rFonts w:ascii="Times New Roman" w:hAnsi="Times New Roman" w:cs="Times New Roman"/>
          <w:color w:val="000000" w:themeColor="text1"/>
          <w:lang w:val="pt-PT"/>
        </w:rPr>
        <w:t xml:space="preserve">no 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Togo e na própria Nigéria,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pouco se sabe sobre os circuitos financeiros que sustentam este comércio e as suas ligações à criminalidade marítima mais vasta no Golfo.</w:t>
      </w:r>
    </w:p>
    <w:p w14:paraId="6CE1E677" w14:textId="316B97C2" w:rsidR="0009678B" w:rsidRPr="000921FA" w:rsidRDefault="0009678B" w:rsidP="0009678B">
      <w:pPr>
        <w:pStyle w:val="Paragraphedeliste"/>
        <w:rPr>
          <w:rFonts w:ascii="Times New Roman" w:hAnsi="Times New Roman" w:cs="Times New Roman"/>
          <w:color w:val="000000" w:themeColor="text1"/>
          <w:lang w:val="pt-PT"/>
        </w:rPr>
      </w:pPr>
    </w:p>
    <w:p w14:paraId="2C6B024E" w14:textId="77777777" w:rsidR="0009678B" w:rsidRPr="000921FA" w:rsidRDefault="0009678B" w:rsidP="0009678B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A União Europeia (UE) está a implementar o programa de Apoio à Segurança Marítima Integrada da África Ocidental (SWAIMS), em colaboração com o Grupo Intergovernamental de Ação contra o Branqueamento de Capitais na África Ocidental (GIABA), como parte da Estratégia da UE para o Golfo da Guiné. A estratégia reconhece que os interesses da CEDEAO e da UE estão alinhados na promoção da segurança da região, uma vez que a UE apoiou a segurança regional através de uma série de outras iniciativas semelhantes. O GIABA é a instituição da CEDEAO responsável pelo reforço da capacidade dos Estados-Membros para a prevenção e o controlo do branqueamento de capitais e do financiamento do terrorismo (BC/FT).  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lastRenderedPageBreak/>
        <w:t>Apoia o trabalho das Unidades de Informação Financeira Nacionais (UIFs dentro de cada Estado-Membro na comunicação de transações financeiras suspeitas e investigações de acompanhamento).</w:t>
      </w:r>
    </w:p>
    <w:p w14:paraId="024003E4" w14:textId="77777777" w:rsidR="0009678B" w:rsidRPr="000921FA" w:rsidRDefault="0009678B" w:rsidP="0009678B">
      <w:pPr>
        <w:pStyle w:val="Paragraphedeliste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63565397" w14:textId="1FF11757" w:rsidR="00EA53CD" w:rsidRPr="000921FA" w:rsidRDefault="00EA53CD" w:rsidP="00EA53CD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O programa SWAIMS é uma resposta coerente concebida para aumentar a capacidade dos intervenientes de segurança e não segurança na luta contra a criminalidade marítima, tal como a pirataria marítima, o roubo de petróleo e a pesca ilegal. Uma componente centra-se no branqueamento dos produtos dos crimes cometidos no mar por redes criminosas.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Contudo, a falta de conhecimentos sobre os lucros financeiros destes crimes, tal como anteriormente mencionado, impede investigações eficazes sobre pirataria, abastecimento de petróleo, pesca ilegal e incidentes de corrupção associados.</w:t>
      </w:r>
    </w:p>
    <w:p w14:paraId="045B45A9" w14:textId="77777777" w:rsidR="00EA53CD" w:rsidRPr="000921FA" w:rsidRDefault="00EA53CD" w:rsidP="00EA53CD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</w:p>
    <w:p w14:paraId="03C9C004" w14:textId="77777777" w:rsidR="00EA53CD" w:rsidRPr="000921FA" w:rsidRDefault="00EA53CD" w:rsidP="00EA53CD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O objetivo geral deste exercício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é compreender os mecanismos de branqueamento através dos quais os rendimentos financeiros das diferentes formas de crime marítimo entram na economia e o significado e impacto que estes fluxos financeiros têm nas economias regionais.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 A investigação deve identificar também os pontos nodais em que os grupos criminosos envolvidos no crime marítimo se relacionam com a economia formal.</w:t>
      </w:r>
    </w:p>
    <w:p w14:paraId="7F193034" w14:textId="77777777" w:rsidR="00EA53CD" w:rsidRPr="000921FA" w:rsidRDefault="00EA53CD" w:rsidP="00EA53CD">
      <w:pPr>
        <w:pStyle w:val="Paragraphedeliste"/>
        <w:jc w:val="both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</w:p>
    <w:p w14:paraId="75DD1029" w14:textId="08C7EC4D" w:rsidR="00971FC8" w:rsidRPr="000921FA" w:rsidRDefault="00971FC8" w:rsidP="001C796F">
      <w:pPr>
        <w:pStyle w:val="Paragraphedeliste"/>
        <w:numPr>
          <w:ilvl w:val="0"/>
          <w:numId w:val="14"/>
        </w:numPr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>Tendo em conta o acima exposto, o GIABA planeia agora recrutar Consultores Individuais para realizar estudos específicos do país sobre branqueamento de capitais, financiamento do terrorismo e fluxos financeiros ilícitos ligados à criminalidade marítima no Golfo da Guiné.</w:t>
      </w:r>
    </w:p>
    <w:p w14:paraId="7243AE3C" w14:textId="0733172D" w:rsidR="00A17A0F" w:rsidRPr="000921FA" w:rsidRDefault="00F250F6" w:rsidP="00A17A0F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0921FA">
        <w:rPr>
          <w:rFonts w:ascii="Times New Roman" w:hAnsi="Times New Roman" w:cs="Times New Roman"/>
          <w:b/>
          <w:bCs/>
          <w:lang w:val="pt-PT"/>
        </w:rPr>
        <w:t>Nature</w:t>
      </w:r>
      <w:r w:rsidR="00971FC8" w:rsidRPr="000921FA">
        <w:rPr>
          <w:rFonts w:ascii="Times New Roman" w:hAnsi="Times New Roman" w:cs="Times New Roman"/>
          <w:b/>
          <w:bCs/>
          <w:lang w:val="pt-PT"/>
        </w:rPr>
        <w:t>za da Missão</w:t>
      </w:r>
      <w:r w:rsidRPr="000921FA">
        <w:rPr>
          <w:rFonts w:ascii="Times New Roman" w:hAnsi="Times New Roman" w:cs="Times New Roman"/>
          <w:b/>
          <w:bCs/>
          <w:lang w:val="pt-PT"/>
        </w:rPr>
        <w:t xml:space="preserve"> </w:t>
      </w:r>
    </w:p>
    <w:p w14:paraId="5CA765FC" w14:textId="302382A3" w:rsidR="00971FC8" w:rsidRPr="000921FA" w:rsidRDefault="00971FC8" w:rsidP="001C796F">
      <w:pPr>
        <w:pStyle w:val="Paragraphedeliste"/>
        <w:numPr>
          <w:ilvl w:val="0"/>
          <w:numId w:val="14"/>
        </w:numPr>
        <w:spacing w:after="160" w:line="276" w:lineRule="auto"/>
        <w:jc w:val="both"/>
        <w:rPr>
          <w:rFonts w:ascii="Times New Roman" w:hAnsi="Times New Roman"/>
          <w:color w:val="000000"/>
          <w:lang w:val="pt-PT" w:eastAsia="en-GB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>A natureza e o âmbito da missão são os seguintes:</w:t>
      </w:r>
    </w:p>
    <w:p w14:paraId="7B7B2554" w14:textId="77777777" w:rsidR="00C4413E" w:rsidRPr="000921FA" w:rsidRDefault="00C4413E" w:rsidP="00C4413E">
      <w:pPr>
        <w:pStyle w:val="Paragraphedeliste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163F2DF3" w14:textId="77777777" w:rsidR="00BE1AC7" w:rsidRPr="000921FA" w:rsidRDefault="00BE1AC7" w:rsidP="00BE1AC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>Análise da situação da criminalidade marítima na África Ocidental, incluindo uma descrição dos diferentes tipos de economias criminosas e dos diferentes intervenientes envolvidos;</w:t>
      </w:r>
    </w:p>
    <w:p w14:paraId="62FCFAC0" w14:textId="77777777" w:rsidR="00BE1AC7" w:rsidRPr="000921FA" w:rsidRDefault="00BE1AC7" w:rsidP="00BE1AC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>Identificação de exemplos de casos específicos de cada país que revelem as ligações entre a criminalidade marítima e os fluxos financeiros ilícitos na região;</w:t>
      </w:r>
    </w:p>
    <w:p w14:paraId="407FA08B" w14:textId="77777777" w:rsidR="00BE1AC7" w:rsidRPr="000921FA" w:rsidRDefault="00BE1AC7" w:rsidP="00BE1AC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 xml:space="preserve">Identificação clara das lacunas operacionais nas respostas de cada país à criminalidade marítima e fluxos financeiros ilícitos associados; e </w:t>
      </w:r>
    </w:p>
    <w:p w14:paraId="40202025" w14:textId="3E813C1A" w:rsidR="00BE1AC7" w:rsidRPr="000921FA" w:rsidRDefault="00BE1AC7" w:rsidP="00BE1AC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>Formulação de recomendações políticas e operacionais sobre como enfrentar eficazmente os desafios identificados;</w:t>
      </w:r>
    </w:p>
    <w:p w14:paraId="39AC0A84" w14:textId="77777777" w:rsidR="00BE1AC7" w:rsidRPr="000921FA" w:rsidRDefault="00BE1AC7" w:rsidP="00BE1AC7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>Avaliar a dimensão género, tendo em conta o impacto que estas ações criminosas têm e o papel desempenhado em redes criminosas por homens e mulheres, respetivamente.</w:t>
      </w:r>
    </w:p>
    <w:p w14:paraId="32217033" w14:textId="77777777" w:rsidR="00497727" w:rsidRPr="000921FA" w:rsidRDefault="00497727" w:rsidP="00497727">
      <w:pPr>
        <w:pStyle w:val="Paragraphedeliste"/>
        <w:spacing w:line="276" w:lineRule="auto"/>
        <w:ind w:left="1800"/>
        <w:jc w:val="both"/>
        <w:rPr>
          <w:rFonts w:ascii="Times New Roman" w:hAnsi="Times New Roman" w:cs="Times New Roman"/>
          <w:lang w:val="pt-PT"/>
        </w:rPr>
      </w:pPr>
    </w:p>
    <w:p w14:paraId="1027F15C" w14:textId="61033DDB" w:rsidR="00D81947" w:rsidRPr="000921FA" w:rsidRDefault="00612C18" w:rsidP="004D468C">
      <w:pPr>
        <w:pStyle w:val="Paragraphedeliste"/>
        <w:spacing w:after="200" w:line="360" w:lineRule="auto"/>
        <w:ind w:left="0"/>
        <w:jc w:val="both"/>
        <w:rPr>
          <w:rFonts w:ascii="Times New Roman" w:hAnsi="Times New Roman"/>
          <w:b/>
          <w:bCs/>
          <w:color w:val="000000"/>
          <w:lang w:val="pt-PT" w:eastAsia="en-GB"/>
        </w:rPr>
      </w:pPr>
      <w:r w:rsidRPr="000921FA">
        <w:rPr>
          <w:rFonts w:ascii="Times New Roman" w:hAnsi="Times New Roman"/>
          <w:b/>
          <w:bCs/>
          <w:color w:val="000000"/>
          <w:lang w:val="pt-PT" w:eastAsia="en-GB"/>
        </w:rPr>
        <w:t>Sequ</w:t>
      </w:r>
      <w:r w:rsidR="00BE1AC7" w:rsidRPr="000921FA">
        <w:rPr>
          <w:rFonts w:ascii="Times New Roman" w:hAnsi="Times New Roman"/>
          <w:b/>
          <w:bCs/>
          <w:color w:val="000000"/>
          <w:lang w:val="pt-PT" w:eastAsia="en-GB"/>
        </w:rPr>
        <w:t>ência de resultados</w:t>
      </w:r>
    </w:p>
    <w:p w14:paraId="0AA30647" w14:textId="130C3B1C" w:rsidR="00BE1AC7" w:rsidRPr="000921FA" w:rsidRDefault="00BE1AC7" w:rsidP="00BE1AC7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bookmarkStart w:id="1" w:name="_Hlk77183827"/>
      <w:r w:rsidRPr="000921FA">
        <w:rPr>
          <w:rFonts w:ascii="Times New Roman" w:hAnsi="Times New Roman" w:cs="Times New Roman"/>
          <w:color w:val="000000" w:themeColor="text1"/>
          <w:lang w:val="pt-PT"/>
        </w:rPr>
        <w:t>Espera-se que o Consultor Nacional produza um relatório com um mínimo de 50 páginas, excluindo anexos e referências, de acordo com o seguinte cronograma:</w:t>
      </w:r>
    </w:p>
    <w:p w14:paraId="55CE5189" w14:textId="77777777" w:rsidR="00BE1AC7" w:rsidRPr="000921FA" w:rsidRDefault="00BE1AC7" w:rsidP="00BE1AC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3624A26E" w14:textId="77777777" w:rsidR="002405B9" w:rsidRPr="000921FA" w:rsidRDefault="002405B9" w:rsidP="002405B9">
      <w:pPr>
        <w:pStyle w:val="Paragraphedeliste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bookmarkEnd w:id="1"/>
    <w:p w14:paraId="1305EDAB" w14:textId="77777777" w:rsidR="00BE1AC7" w:rsidRPr="000921FA" w:rsidRDefault="00BE1AC7" w:rsidP="00BE1A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lang w:val="pt-PT"/>
        </w:rPr>
      </w:pPr>
      <w:r w:rsidRPr="000921FA">
        <w:rPr>
          <w:rFonts w:ascii="Times New Roman" w:hAnsi="Times New Roman"/>
          <w:lang w:val="pt-PT"/>
        </w:rPr>
        <w:t xml:space="preserve">Um relatório inicial a ser apresentado </w:t>
      </w:r>
      <w:r w:rsidRPr="000921FA">
        <w:rPr>
          <w:rFonts w:ascii="Times New Roman" w:hAnsi="Times New Roman"/>
          <w:b/>
          <w:bCs/>
          <w:lang w:val="pt-PT"/>
        </w:rPr>
        <w:t>duas (02) semanas após a assinatura</w:t>
      </w:r>
      <w:r w:rsidRPr="000921FA">
        <w:rPr>
          <w:rFonts w:ascii="Times New Roman" w:hAnsi="Times New Roman"/>
          <w:lang w:val="pt-PT"/>
        </w:rPr>
        <w:t xml:space="preserve"> do contrato;</w:t>
      </w:r>
    </w:p>
    <w:p w14:paraId="657B628E" w14:textId="77777777" w:rsidR="00BE1AC7" w:rsidRPr="000921FA" w:rsidRDefault="00BE1AC7" w:rsidP="00BE1A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lang w:val="pt-PT"/>
        </w:rPr>
      </w:pPr>
      <w:r w:rsidRPr="000921FA">
        <w:rPr>
          <w:rFonts w:ascii="Times New Roman" w:hAnsi="Times New Roman"/>
          <w:lang w:val="pt-PT"/>
        </w:rPr>
        <w:t xml:space="preserve">Primeiro projeto de relatório a ser apresentado ao Secretariado do GIABA </w:t>
      </w:r>
      <w:r w:rsidRPr="000921FA">
        <w:rPr>
          <w:rFonts w:ascii="Times New Roman" w:hAnsi="Times New Roman"/>
          <w:b/>
          <w:bCs/>
          <w:lang w:val="pt-PT"/>
        </w:rPr>
        <w:t>dentro de dois (02) meses após</w:t>
      </w:r>
      <w:r w:rsidRPr="000921FA">
        <w:rPr>
          <w:rFonts w:ascii="Times New Roman" w:hAnsi="Times New Roman"/>
          <w:lang w:val="pt-PT"/>
        </w:rPr>
        <w:t xml:space="preserve"> a apresentação do relatório inicial;</w:t>
      </w:r>
    </w:p>
    <w:p w14:paraId="4980CC95" w14:textId="67ACB51E" w:rsidR="00BE1AC7" w:rsidRPr="000921FA" w:rsidRDefault="00BE1AC7" w:rsidP="00BE1A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lang w:val="pt-PT"/>
        </w:rPr>
      </w:pPr>
      <w:r w:rsidRPr="000921FA">
        <w:rPr>
          <w:rFonts w:ascii="Times New Roman" w:hAnsi="Times New Roman"/>
          <w:lang w:val="pt-PT"/>
        </w:rPr>
        <w:t xml:space="preserve">O Secretariado do GIABA revê e informa o consultor nacional num prazo máximo de </w:t>
      </w:r>
      <w:r w:rsidRPr="000921FA">
        <w:rPr>
          <w:rFonts w:ascii="Times New Roman" w:hAnsi="Times New Roman"/>
          <w:b/>
          <w:bCs/>
          <w:lang w:val="pt-PT"/>
        </w:rPr>
        <w:t>um mês após a receção</w:t>
      </w:r>
      <w:r w:rsidRPr="000921FA">
        <w:rPr>
          <w:rFonts w:ascii="Times New Roman" w:hAnsi="Times New Roman"/>
          <w:lang w:val="pt-PT"/>
        </w:rPr>
        <w:t xml:space="preserve"> do primeiro projeto de relatório;</w:t>
      </w:r>
    </w:p>
    <w:p w14:paraId="6D3558A7" w14:textId="77777777" w:rsidR="00BE1AC7" w:rsidRPr="000921FA" w:rsidRDefault="00BE1AC7" w:rsidP="00BE1A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lang w:val="pt-PT"/>
        </w:rPr>
      </w:pPr>
      <w:r w:rsidRPr="000921FA">
        <w:rPr>
          <w:rFonts w:ascii="Times New Roman" w:hAnsi="Times New Roman"/>
          <w:lang w:val="pt-PT"/>
        </w:rPr>
        <w:t xml:space="preserve">Segundo projeto de relatório a ser apresentado ao Secretariado do GIABA </w:t>
      </w:r>
      <w:r w:rsidRPr="000921FA">
        <w:rPr>
          <w:rFonts w:ascii="Times New Roman" w:hAnsi="Times New Roman"/>
          <w:b/>
          <w:bCs/>
          <w:lang w:val="pt-PT"/>
        </w:rPr>
        <w:t>duas (02) semanas após</w:t>
      </w:r>
      <w:r w:rsidRPr="000921FA">
        <w:rPr>
          <w:rFonts w:ascii="Times New Roman" w:hAnsi="Times New Roman"/>
          <w:lang w:val="pt-PT"/>
        </w:rPr>
        <w:t xml:space="preserve"> a receção dos comentários do Secretariado do GIABA.</w:t>
      </w:r>
    </w:p>
    <w:p w14:paraId="02DA0D98" w14:textId="2243C623" w:rsidR="00BE1AC7" w:rsidRPr="000921FA" w:rsidRDefault="00BE1AC7" w:rsidP="001C796F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Os Consultores individuais são convidados a manifestar interesse na prestação dos serviços acima referidos. Os Consultores interessados devem apresentar a sua manifestação de interesse acompanhada do seu Curriculum Vitae, indicando que estão qualificados para realizar os serviços. Os candidatos devem ainda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apresentar um resumo (máximo de uma página) sobre como entendem a tarefa e como planeiam realizá-la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. São também encorajados a apoiar a sua candidatura com quaisquer outras informações, </w:t>
      </w:r>
      <w:r w:rsidR="00745DE7" w:rsidRPr="000921FA">
        <w:rPr>
          <w:rFonts w:ascii="Times New Roman" w:hAnsi="Times New Roman" w:cs="Times New Roman"/>
          <w:color w:val="000000" w:themeColor="text1"/>
          <w:lang w:val="pt-PT"/>
        </w:rPr>
        <w:t>quando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745DE7" w:rsidRPr="000921FA">
        <w:rPr>
          <w:rFonts w:ascii="Times New Roman" w:hAnsi="Times New Roman" w:cs="Times New Roman"/>
          <w:color w:val="000000" w:themeColor="text1"/>
          <w:lang w:val="pt-PT"/>
        </w:rPr>
        <w:t>existirem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 (brochuras, descrição de </w:t>
      </w:r>
      <w:r w:rsidR="00745DE7" w:rsidRPr="000921FA">
        <w:rPr>
          <w:rFonts w:ascii="Times New Roman" w:hAnsi="Times New Roman" w:cs="Times New Roman"/>
          <w:color w:val="000000" w:themeColor="text1"/>
          <w:lang w:val="pt-PT"/>
        </w:rPr>
        <w:t>missões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 semelhantes, experiência em contextos semelhantes, etc.).  </w:t>
      </w:r>
    </w:p>
    <w:p w14:paraId="3908467F" w14:textId="77777777" w:rsidR="00320C64" w:rsidRPr="000921FA" w:rsidRDefault="00320C64" w:rsidP="00320C64">
      <w:pPr>
        <w:pStyle w:val="Paragraphedeliste"/>
        <w:spacing w:line="276" w:lineRule="auto"/>
        <w:ind w:left="1065"/>
        <w:jc w:val="both"/>
        <w:rPr>
          <w:rFonts w:ascii="Times New Roman" w:hAnsi="Times New Roman"/>
          <w:color w:val="000000"/>
          <w:lang w:val="pt-PT" w:eastAsia="en-GB"/>
        </w:rPr>
      </w:pPr>
    </w:p>
    <w:p w14:paraId="66C1D5FE" w14:textId="66000A0C" w:rsidR="00745DE7" w:rsidRPr="000921FA" w:rsidRDefault="00745DE7" w:rsidP="001C796F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Os consultores serão selecionados em total conformidade com o Código de Aquisições da CEDEAO.  Uma quantia fixa de </w:t>
      </w:r>
      <w:r w:rsidRPr="000921FA">
        <w:rPr>
          <w:rFonts w:ascii="Times New Roman" w:hAnsi="Times New Roman" w:cs="Times New Roman"/>
          <w:b/>
          <w:bCs/>
          <w:color w:val="000000" w:themeColor="text1"/>
          <w:lang w:val="pt-PT"/>
        </w:rPr>
        <w:t>cinco mil dólares americanos ($5000)</w:t>
      </w:r>
      <w:r w:rsidRPr="000921FA">
        <w:rPr>
          <w:rFonts w:ascii="Times New Roman" w:hAnsi="Times New Roman" w:cs="Times New Roman"/>
          <w:color w:val="000000" w:themeColor="text1"/>
          <w:lang w:val="pt-PT"/>
        </w:rPr>
        <w:t xml:space="preserve"> será paga ao consultor, sujeita aos termos de um contrato mutuamente acordado.  </w:t>
      </w:r>
    </w:p>
    <w:p w14:paraId="4D7F8552" w14:textId="77777777" w:rsidR="00320C64" w:rsidRPr="000921FA" w:rsidRDefault="00320C64" w:rsidP="00320C64">
      <w:pPr>
        <w:spacing w:line="276" w:lineRule="auto"/>
        <w:jc w:val="both"/>
        <w:rPr>
          <w:rFonts w:ascii="Times New Roman" w:hAnsi="Times New Roman"/>
          <w:color w:val="000000"/>
          <w:lang w:val="pt-PT" w:eastAsia="en-GB"/>
        </w:rPr>
      </w:pPr>
    </w:p>
    <w:p w14:paraId="4C63ED3E" w14:textId="4A14D787" w:rsidR="00745DE7" w:rsidRPr="000921FA" w:rsidRDefault="00745DE7" w:rsidP="001C796F">
      <w:pPr>
        <w:pStyle w:val="Paragraphedeliste"/>
        <w:numPr>
          <w:ilvl w:val="0"/>
          <w:numId w:val="14"/>
        </w:numPr>
        <w:spacing w:after="160" w:line="276" w:lineRule="auto"/>
        <w:jc w:val="both"/>
        <w:rPr>
          <w:rFonts w:ascii="Times New Roman" w:hAnsi="Times New Roman"/>
          <w:color w:val="000000"/>
          <w:lang w:val="pt-PT" w:eastAsia="en-GB"/>
        </w:rPr>
      </w:pPr>
      <w:r w:rsidRPr="000921FA">
        <w:rPr>
          <w:rFonts w:ascii="Times New Roman" w:hAnsi="Times New Roman"/>
          <w:color w:val="000000"/>
          <w:lang w:val="pt-PT" w:eastAsia="en-GB"/>
        </w:rPr>
        <w:t xml:space="preserve">As manifestações de interesse devem ser enviadas por e-mail para o endereço abaixo até </w:t>
      </w:r>
      <w:r w:rsidR="007603C6">
        <w:rPr>
          <w:rFonts w:ascii="Times New Roman" w:hAnsi="Times New Roman"/>
          <w:b/>
          <w:bCs/>
          <w:color w:val="000000"/>
          <w:lang w:val="pt-PT" w:eastAsia="en-GB"/>
        </w:rPr>
        <w:t>quinta</w:t>
      </w:r>
      <w:r w:rsidRPr="000921FA">
        <w:rPr>
          <w:rFonts w:ascii="Times New Roman" w:hAnsi="Times New Roman"/>
          <w:b/>
          <w:bCs/>
          <w:color w:val="000000"/>
          <w:lang w:val="pt-PT" w:eastAsia="en-GB"/>
        </w:rPr>
        <w:t xml:space="preserve">-feira 30 de </w:t>
      </w:r>
      <w:r w:rsidR="007603C6">
        <w:rPr>
          <w:rFonts w:ascii="Times New Roman" w:hAnsi="Times New Roman"/>
          <w:b/>
          <w:bCs/>
          <w:color w:val="000000"/>
          <w:lang w:val="pt-PT" w:eastAsia="en-GB"/>
        </w:rPr>
        <w:t>setembro</w:t>
      </w:r>
      <w:r w:rsidRPr="000921FA">
        <w:rPr>
          <w:rFonts w:ascii="Times New Roman" w:hAnsi="Times New Roman"/>
          <w:b/>
          <w:bCs/>
          <w:color w:val="000000"/>
          <w:lang w:val="pt-PT" w:eastAsia="en-GB"/>
        </w:rPr>
        <w:t xml:space="preserve"> de 2021</w:t>
      </w:r>
      <w:r w:rsidRPr="000921FA">
        <w:rPr>
          <w:rFonts w:ascii="Times New Roman" w:hAnsi="Times New Roman"/>
          <w:color w:val="000000"/>
          <w:lang w:val="pt-PT" w:eastAsia="en-GB"/>
        </w:rPr>
        <w:t xml:space="preserve"> ao meio-dia GMT, com o título de consultoria claramente identificado na apresentação.</w:t>
      </w:r>
    </w:p>
    <w:p w14:paraId="7E6FEF5E" w14:textId="77777777" w:rsidR="00320C64" w:rsidRPr="000921FA" w:rsidRDefault="00320C64" w:rsidP="00320C64">
      <w:pPr>
        <w:pStyle w:val="Paragraphedeliste"/>
        <w:rPr>
          <w:rFonts w:ascii="Times New Roman" w:hAnsi="Times New Roman"/>
          <w:color w:val="000000"/>
          <w:lang w:val="pt-PT" w:eastAsia="en-GB"/>
        </w:rPr>
      </w:pPr>
    </w:p>
    <w:p w14:paraId="68A94C12" w14:textId="4AFD22FC" w:rsidR="00320C64" w:rsidRPr="000921FA" w:rsidRDefault="00320C64" w:rsidP="00320C64">
      <w:pPr>
        <w:pStyle w:val="Retraitcorpsdetexte"/>
        <w:jc w:val="center"/>
        <w:rPr>
          <w:rFonts w:ascii="Times New Roman" w:hAnsi="Times New Roman"/>
          <w:b/>
          <w:sz w:val="22"/>
          <w:szCs w:val="22"/>
          <w:lang w:val="pt-PT"/>
        </w:rPr>
      </w:pPr>
      <w:r w:rsidRPr="000921FA">
        <w:rPr>
          <w:rFonts w:ascii="Times New Roman" w:hAnsi="Times New Roman"/>
          <w:b/>
          <w:sz w:val="22"/>
          <w:szCs w:val="22"/>
          <w:lang w:val="pt-PT"/>
        </w:rPr>
        <w:t>Dire</w:t>
      </w:r>
      <w:r w:rsidR="00745DE7" w:rsidRPr="000921FA">
        <w:rPr>
          <w:rFonts w:ascii="Times New Roman" w:hAnsi="Times New Roman"/>
          <w:b/>
          <w:sz w:val="22"/>
          <w:szCs w:val="22"/>
          <w:lang w:val="pt-PT"/>
        </w:rPr>
        <w:t>t</w:t>
      </w:r>
      <w:r w:rsidRPr="000921FA">
        <w:rPr>
          <w:rFonts w:ascii="Times New Roman" w:hAnsi="Times New Roman"/>
          <w:b/>
          <w:sz w:val="22"/>
          <w:szCs w:val="22"/>
          <w:lang w:val="pt-PT"/>
        </w:rPr>
        <w:t>or Geral</w:t>
      </w:r>
    </w:p>
    <w:p w14:paraId="41D83FC2" w14:textId="43DE68C5" w:rsidR="00320C64" w:rsidRPr="000921FA" w:rsidRDefault="00745DE7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</w:pPr>
      <w:r w:rsidRPr="000921FA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 xml:space="preserve"> Grupo Intergovernamental de Ação contra o Branqueamento de Capitais na África Ocidental </w:t>
      </w:r>
      <w:r w:rsidR="00320C64" w:rsidRPr="000921FA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>(GIABA)</w:t>
      </w:r>
    </w:p>
    <w:p w14:paraId="2012BA90" w14:textId="77777777" w:rsidR="00320C64" w:rsidRPr="007603C6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</w:pPr>
      <w:r w:rsidRPr="007603C6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>Complexe SICAP, Point E, 1</w:t>
      </w:r>
      <w:r w:rsidRPr="007603C6">
        <w:rPr>
          <w:rFonts w:ascii="Times New Roman" w:hAnsi="Times New Roman"/>
          <w:color w:val="4472C4" w:themeColor="accent1"/>
          <w:spacing w:val="-3"/>
          <w:sz w:val="22"/>
          <w:szCs w:val="22"/>
          <w:vertAlign w:val="superscript"/>
          <w:lang w:val="pt-PT"/>
        </w:rPr>
        <w:t>er</w:t>
      </w:r>
      <w:r w:rsidRPr="007603C6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 xml:space="preserve"> Etage, Immeuble A</w:t>
      </w:r>
    </w:p>
    <w:p w14:paraId="098BEBED" w14:textId="77777777" w:rsidR="00320C64" w:rsidRPr="000921FA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</w:pPr>
      <w:r w:rsidRPr="000921FA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>Av. Cheikh Anta Diop x Canal IV, BP 32400</w:t>
      </w:r>
    </w:p>
    <w:p w14:paraId="57E68CC2" w14:textId="77777777" w:rsidR="00320C64" w:rsidRPr="000921FA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</w:pPr>
      <w:r w:rsidRPr="000921FA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>Dakar, Senegal</w:t>
      </w:r>
    </w:p>
    <w:p w14:paraId="42B2C804" w14:textId="77777777" w:rsidR="00320C64" w:rsidRPr="000921FA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</w:pPr>
      <w:r w:rsidRPr="000921FA">
        <w:rPr>
          <w:rFonts w:ascii="Times New Roman" w:hAnsi="Times New Roman"/>
          <w:color w:val="4472C4" w:themeColor="accent1"/>
          <w:spacing w:val="-3"/>
          <w:sz w:val="22"/>
          <w:szCs w:val="22"/>
          <w:lang w:val="pt-PT"/>
        </w:rPr>
        <w:t>Tel: +221 33 859 1818 Ext 838</w:t>
      </w:r>
    </w:p>
    <w:p w14:paraId="5FB01D9D" w14:textId="77777777" w:rsidR="00320C64" w:rsidRPr="000921FA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spacing w:val="-3"/>
          <w:sz w:val="22"/>
          <w:szCs w:val="22"/>
          <w:lang w:val="pt-PT"/>
        </w:rPr>
      </w:pPr>
      <w:r w:rsidRPr="000921FA">
        <w:rPr>
          <w:rFonts w:ascii="Times New Roman" w:hAnsi="Times New Roman"/>
          <w:spacing w:val="-3"/>
          <w:sz w:val="22"/>
          <w:szCs w:val="22"/>
          <w:lang w:val="pt-PT"/>
        </w:rPr>
        <w:t>Fax: +221 338241745</w:t>
      </w:r>
    </w:p>
    <w:p w14:paraId="026CF9EA" w14:textId="31FFBE54" w:rsidR="00320C64" w:rsidRPr="000921FA" w:rsidRDefault="00320C64" w:rsidP="00320C64">
      <w:pPr>
        <w:tabs>
          <w:tab w:val="left" w:pos="-720"/>
        </w:tabs>
        <w:suppressAutoHyphens/>
        <w:spacing w:line="360" w:lineRule="auto"/>
        <w:jc w:val="center"/>
        <w:rPr>
          <w:sz w:val="22"/>
          <w:szCs w:val="22"/>
          <w:lang w:val="fr-FR"/>
        </w:rPr>
      </w:pPr>
      <w:r w:rsidRPr="000921FA">
        <w:rPr>
          <w:rFonts w:ascii="Times New Roman" w:hAnsi="Times New Roman"/>
          <w:spacing w:val="-3"/>
          <w:sz w:val="22"/>
          <w:szCs w:val="22"/>
          <w:lang w:val="fr-FR"/>
        </w:rPr>
        <w:t xml:space="preserve">Email: </w:t>
      </w:r>
      <w:hyperlink r:id="rId11" w:history="1">
        <w:r w:rsidRPr="000921FA">
          <w:rPr>
            <w:rStyle w:val="Lienhypertexte"/>
            <w:rFonts w:ascii="Times New Roman" w:hAnsi="Times New Roman"/>
            <w:sz w:val="22"/>
            <w:szCs w:val="22"/>
            <w:lang w:val="fr-FR"/>
          </w:rPr>
          <w:t>secretariat@giaba.org</w:t>
        </w:r>
      </w:hyperlink>
      <w:r w:rsidRPr="000921FA">
        <w:rPr>
          <w:rFonts w:ascii="Times New Roman" w:hAnsi="Times New Roman"/>
          <w:spacing w:val="-3"/>
          <w:sz w:val="22"/>
          <w:szCs w:val="22"/>
          <w:lang w:val="fr-FR"/>
        </w:rPr>
        <w:t xml:space="preserve"> </w:t>
      </w:r>
      <w:r w:rsidR="000921FA" w:rsidRPr="000921FA">
        <w:rPr>
          <w:rFonts w:ascii="Times New Roman" w:hAnsi="Times New Roman"/>
          <w:spacing w:val="-3"/>
          <w:sz w:val="22"/>
          <w:szCs w:val="22"/>
          <w:lang w:val="fr-FR"/>
        </w:rPr>
        <w:t>ou</w:t>
      </w:r>
      <w:r w:rsidRPr="000921FA">
        <w:rPr>
          <w:rFonts w:ascii="Times New Roman" w:hAnsi="Times New Roman"/>
          <w:spacing w:val="-3"/>
          <w:sz w:val="22"/>
          <w:szCs w:val="22"/>
          <w:lang w:val="fr-FR"/>
        </w:rPr>
        <w:t xml:space="preserve"> </w:t>
      </w:r>
      <w:hyperlink r:id="rId12" w:history="1">
        <w:r w:rsidRPr="000921FA">
          <w:rPr>
            <w:rStyle w:val="Lienhypertexte"/>
            <w:rFonts w:ascii="Times New Roman" w:hAnsi="Times New Roman"/>
            <w:sz w:val="22"/>
            <w:szCs w:val="22"/>
            <w:lang w:val="fr-FR"/>
          </w:rPr>
          <w:t>procurement@giaba.org</w:t>
        </w:r>
      </w:hyperlink>
    </w:p>
    <w:p w14:paraId="5BADE32D" w14:textId="38F11E2C" w:rsidR="00D81947" w:rsidRPr="000921FA" w:rsidRDefault="00D81947" w:rsidP="00692381">
      <w:pPr>
        <w:spacing w:line="360" w:lineRule="auto"/>
        <w:jc w:val="both"/>
        <w:rPr>
          <w:rFonts w:ascii="Times New Roman" w:hAnsi="Times New Roman" w:cs="Times New Roman"/>
          <w:b/>
          <w:bCs/>
          <w:lang w:val="fr-FR"/>
        </w:rPr>
      </w:pPr>
    </w:p>
    <w:p w14:paraId="5EB5D996" w14:textId="77777777" w:rsidR="004C5A73" w:rsidRPr="000921FA" w:rsidRDefault="004C5A73" w:rsidP="0069238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14:paraId="39B49105" w14:textId="77777777" w:rsidR="005A58BB" w:rsidRPr="000921FA" w:rsidRDefault="005A58BB" w:rsidP="00692381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14:paraId="1F0695B7" w14:textId="09ED3B57" w:rsidR="00283C32" w:rsidRPr="000921FA" w:rsidRDefault="005A58BB" w:rsidP="00692381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0921FA">
        <w:rPr>
          <w:rFonts w:ascii="Times New Roman" w:hAnsi="Times New Roman" w:cs="Times New Roman"/>
          <w:lang w:val="pt-PT"/>
        </w:rPr>
        <w:t>*******</w:t>
      </w:r>
    </w:p>
    <w:sectPr w:rsidR="00283C32" w:rsidRPr="000921FA" w:rsidSect="00B3009F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7439" w14:textId="77777777" w:rsidR="00D5526A" w:rsidRDefault="00D5526A" w:rsidP="004C5A73">
      <w:r>
        <w:separator/>
      </w:r>
    </w:p>
  </w:endnote>
  <w:endnote w:type="continuationSeparator" w:id="0">
    <w:p w14:paraId="2F7DB710" w14:textId="77777777" w:rsidR="00D5526A" w:rsidRDefault="00D5526A" w:rsidP="004C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506365"/>
      <w:docPartObj>
        <w:docPartGallery w:val="Page Numbers (Bottom of Page)"/>
        <w:docPartUnique/>
      </w:docPartObj>
    </w:sdtPr>
    <w:sdtEndPr/>
    <w:sdtContent>
      <w:p w14:paraId="6633F75C" w14:textId="4EA7D04B" w:rsidR="004C4853" w:rsidRDefault="004C48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BDF240E" w14:textId="77777777" w:rsidR="004C4853" w:rsidRDefault="004C48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0CA4" w14:textId="77777777" w:rsidR="00D5526A" w:rsidRDefault="00D5526A" w:rsidP="004C5A73">
      <w:r>
        <w:separator/>
      </w:r>
    </w:p>
  </w:footnote>
  <w:footnote w:type="continuationSeparator" w:id="0">
    <w:p w14:paraId="5F118156" w14:textId="77777777" w:rsidR="00D5526A" w:rsidRDefault="00D5526A" w:rsidP="004C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305619"/>
      <w:docPartObj>
        <w:docPartGallery w:val="Page Numbers (Top of Page)"/>
        <w:docPartUnique/>
      </w:docPartObj>
    </w:sdtPr>
    <w:sdtEndPr/>
    <w:sdtContent>
      <w:p w14:paraId="6BC2ED82" w14:textId="1B3A8ADF" w:rsidR="004C4853" w:rsidRDefault="004C485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C1214D0" w14:textId="77777777" w:rsidR="004C4853" w:rsidRDefault="004C48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F2"/>
    <w:multiLevelType w:val="hybridMultilevel"/>
    <w:tmpl w:val="E040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6E2"/>
    <w:multiLevelType w:val="hybridMultilevel"/>
    <w:tmpl w:val="3D787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062EB"/>
    <w:multiLevelType w:val="hybridMultilevel"/>
    <w:tmpl w:val="9FB68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2A0"/>
    <w:multiLevelType w:val="hybridMultilevel"/>
    <w:tmpl w:val="F93C06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19C"/>
    <w:multiLevelType w:val="multilevel"/>
    <w:tmpl w:val="17B0619C"/>
    <w:lvl w:ilvl="0">
      <w:start w:val="1"/>
      <w:numFmt w:val="decimal"/>
      <w:pStyle w:val="Titre2"/>
      <w:lvlText w:val="%1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left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4a"/>
      <w:lvlText w:val="%3."/>
      <w:lvlJc w:val="left"/>
      <w:pPr>
        <w:tabs>
          <w:tab w:val="left" w:pos="2534"/>
        </w:tabs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</w:pPr>
      <w:rPr>
        <w:rFonts w:cs="Times New Roman" w:hint="default"/>
        <w:b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284365F"/>
    <w:multiLevelType w:val="hybridMultilevel"/>
    <w:tmpl w:val="CFD83D52"/>
    <w:lvl w:ilvl="0" w:tplc="7AEE99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735"/>
    <w:multiLevelType w:val="hybridMultilevel"/>
    <w:tmpl w:val="4D808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A31FB"/>
    <w:multiLevelType w:val="hybridMultilevel"/>
    <w:tmpl w:val="BCDE01B8"/>
    <w:lvl w:ilvl="0" w:tplc="512C8D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D4292"/>
    <w:multiLevelType w:val="hybridMultilevel"/>
    <w:tmpl w:val="21200BE8"/>
    <w:lvl w:ilvl="0" w:tplc="EF5079B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E91870"/>
    <w:multiLevelType w:val="hybridMultilevel"/>
    <w:tmpl w:val="3630299E"/>
    <w:lvl w:ilvl="0" w:tplc="EF5079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2E4B"/>
    <w:multiLevelType w:val="hybridMultilevel"/>
    <w:tmpl w:val="714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40E0E"/>
    <w:multiLevelType w:val="hybridMultilevel"/>
    <w:tmpl w:val="E78A3996"/>
    <w:lvl w:ilvl="0" w:tplc="EF5079B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3B4B17"/>
    <w:multiLevelType w:val="hybridMultilevel"/>
    <w:tmpl w:val="185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748B"/>
    <w:multiLevelType w:val="hybridMultilevel"/>
    <w:tmpl w:val="AAFC387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4"/>
    <w:rsid w:val="00090C39"/>
    <w:rsid w:val="000921FA"/>
    <w:rsid w:val="0009678B"/>
    <w:rsid w:val="00096F68"/>
    <w:rsid w:val="000A1B59"/>
    <w:rsid w:val="000B5EFE"/>
    <w:rsid w:val="000E665F"/>
    <w:rsid w:val="000F2190"/>
    <w:rsid w:val="00141683"/>
    <w:rsid w:val="00176FF1"/>
    <w:rsid w:val="001B09F5"/>
    <w:rsid w:val="001C796F"/>
    <w:rsid w:val="001D04FD"/>
    <w:rsid w:val="001E2FBC"/>
    <w:rsid w:val="00202214"/>
    <w:rsid w:val="00205864"/>
    <w:rsid w:val="002405B9"/>
    <w:rsid w:val="0024346D"/>
    <w:rsid w:val="0025434B"/>
    <w:rsid w:val="00254823"/>
    <w:rsid w:val="00273F48"/>
    <w:rsid w:val="002762B0"/>
    <w:rsid w:val="00283C32"/>
    <w:rsid w:val="00285162"/>
    <w:rsid w:val="002A5352"/>
    <w:rsid w:val="002B109B"/>
    <w:rsid w:val="002B1674"/>
    <w:rsid w:val="002D2182"/>
    <w:rsid w:val="002F4780"/>
    <w:rsid w:val="00320C64"/>
    <w:rsid w:val="00320ED5"/>
    <w:rsid w:val="0035397F"/>
    <w:rsid w:val="00366D3D"/>
    <w:rsid w:val="0038524D"/>
    <w:rsid w:val="0039214F"/>
    <w:rsid w:val="003B3302"/>
    <w:rsid w:val="003B4973"/>
    <w:rsid w:val="003C2413"/>
    <w:rsid w:val="003D4175"/>
    <w:rsid w:val="003D4F7B"/>
    <w:rsid w:val="00416C31"/>
    <w:rsid w:val="00426D8E"/>
    <w:rsid w:val="00457134"/>
    <w:rsid w:val="004669D3"/>
    <w:rsid w:val="00497727"/>
    <w:rsid w:val="004A0CA6"/>
    <w:rsid w:val="004B21FE"/>
    <w:rsid w:val="004C4853"/>
    <w:rsid w:val="004C5A73"/>
    <w:rsid w:val="004D468C"/>
    <w:rsid w:val="004D6AE1"/>
    <w:rsid w:val="004F692D"/>
    <w:rsid w:val="004F7977"/>
    <w:rsid w:val="005174BF"/>
    <w:rsid w:val="00544E92"/>
    <w:rsid w:val="0057419E"/>
    <w:rsid w:val="005A55BF"/>
    <w:rsid w:val="005A58BB"/>
    <w:rsid w:val="00612C18"/>
    <w:rsid w:val="006371D4"/>
    <w:rsid w:val="006740FB"/>
    <w:rsid w:val="00675A76"/>
    <w:rsid w:val="00683DB4"/>
    <w:rsid w:val="00692381"/>
    <w:rsid w:val="006B74D9"/>
    <w:rsid w:val="006C1E31"/>
    <w:rsid w:val="00703FF6"/>
    <w:rsid w:val="00721F7D"/>
    <w:rsid w:val="00745DE7"/>
    <w:rsid w:val="007603C6"/>
    <w:rsid w:val="007A5294"/>
    <w:rsid w:val="007B100E"/>
    <w:rsid w:val="007B546F"/>
    <w:rsid w:val="007B6DBA"/>
    <w:rsid w:val="007C0663"/>
    <w:rsid w:val="007E3F53"/>
    <w:rsid w:val="00807B4A"/>
    <w:rsid w:val="0082500F"/>
    <w:rsid w:val="00826E3A"/>
    <w:rsid w:val="00872C14"/>
    <w:rsid w:val="0088153E"/>
    <w:rsid w:val="008E333B"/>
    <w:rsid w:val="00916B14"/>
    <w:rsid w:val="00962704"/>
    <w:rsid w:val="00971FC8"/>
    <w:rsid w:val="00973029"/>
    <w:rsid w:val="00975F3E"/>
    <w:rsid w:val="0098036D"/>
    <w:rsid w:val="00983D0D"/>
    <w:rsid w:val="00985604"/>
    <w:rsid w:val="009919FC"/>
    <w:rsid w:val="009A03F3"/>
    <w:rsid w:val="009A2D51"/>
    <w:rsid w:val="009A3A08"/>
    <w:rsid w:val="009B0CF1"/>
    <w:rsid w:val="009E0B43"/>
    <w:rsid w:val="00A17A0F"/>
    <w:rsid w:val="00A7577E"/>
    <w:rsid w:val="00A86C5D"/>
    <w:rsid w:val="00AA5A27"/>
    <w:rsid w:val="00AB1F13"/>
    <w:rsid w:val="00AE2424"/>
    <w:rsid w:val="00B3009F"/>
    <w:rsid w:val="00B84E44"/>
    <w:rsid w:val="00B933BD"/>
    <w:rsid w:val="00BB0FAB"/>
    <w:rsid w:val="00BC190C"/>
    <w:rsid w:val="00BE1AC7"/>
    <w:rsid w:val="00BF13D0"/>
    <w:rsid w:val="00C00F9E"/>
    <w:rsid w:val="00C40277"/>
    <w:rsid w:val="00C4413E"/>
    <w:rsid w:val="00C75403"/>
    <w:rsid w:val="00C955B7"/>
    <w:rsid w:val="00CA1AB4"/>
    <w:rsid w:val="00CF1389"/>
    <w:rsid w:val="00CF6027"/>
    <w:rsid w:val="00D30B19"/>
    <w:rsid w:val="00D5526A"/>
    <w:rsid w:val="00D631FB"/>
    <w:rsid w:val="00D6354F"/>
    <w:rsid w:val="00D65260"/>
    <w:rsid w:val="00D81947"/>
    <w:rsid w:val="00DD693B"/>
    <w:rsid w:val="00E01BD3"/>
    <w:rsid w:val="00E11F5D"/>
    <w:rsid w:val="00E42946"/>
    <w:rsid w:val="00E84960"/>
    <w:rsid w:val="00EA204B"/>
    <w:rsid w:val="00EA53CD"/>
    <w:rsid w:val="00EB4037"/>
    <w:rsid w:val="00EC5A47"/>
    <w:rsid w:val="00EC7CC2"/>
    <w:rsid w:val="00F250F6"/>
    <w:rsid w:val="00F46580"/>
    <w:rsid w:val="00F74EF7"/>
    <w:rsid w:val="00FA3B4A"/>
    <w:rsid w:val="00FB3736"/>
    <w:rsid w:val="00FB594C"/>
    <w:rsid w:val="00FF5698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32D3"/>
  <w15:chartTrackingRefBased/>
  <w15:docId w15:val="{B9FEAB73-F938-6841-B2D3-CAA0240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A86C5D"/>
    <w:pPr>
      <w:numPr>
        <w:numId w:val="10"/>
      </w:numPr>
      <w:spacing w:before="120" w:line="276" w:lineRule="auto"/>
      <w:outlineLvl w:val="1"/>
    </w:pPr>
    <w:rPr>
      <w:rFonts w:ascii="Times New Roman" w:eastAsia="Times New Roman" w:hAnsi="Times New Roman" w:cs="Times New Roman"/>
      <w:b/>
      <w:spacing w:val="20"/>
      <w:sz w:val="28"/>
      <w:szCs w:val="2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C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C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4F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4C5A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4C5A73"/>
    <w:rPr>
      <w:sz w:val="20"/>
      <w:szCs w:val="20"/>
    </w:rPr>
  </w:style>
  <w:style w:type="character" w:styleId="Appelnotedebasdep">
    <w:name w:val="footnote reference"/>
    <w:basedOn w:val="Policepardfaut"/>
    <w:link w:val="Char2"/>
    <w:uiPriority w:val="99"/>
    <w:unhideWhenUsed/>
    <w:qFormat/>
    <w:rsid w:val="004C5A73"/>
    <w:rPr>
      <w:vertAlign w:val="superscript"/>
    </w:rPr>
  </w:style>
  <w:style w:type="table" w:styleId="Grilledutableau">
    <w:name w:val="Table Grid"/>
    <w:basedOn w:val="TableauNormal"/>
    <w:uiPriority w:val="39"/>
    <w:rsid w:val="0027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Appelnotedebasdep"/>
    <w:uiPriority w:val="99"/>
    <w:qFormat/>
    <w:rsid w:val="00320ED5"/>
    <w:pPr>
      <w:spacing w:after="160" w:line="240" w:lineRule="exact"/>
    </w:pPr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652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5260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86C5D"/>
    <w:rPr>
      <w:rFonts w:ascii="Times New Roman" w:eastAsia="Times New Roman" w:hAnsi="Times New Roman" w:cs="Times New Roman"/>
      <w:b/>
      <w:spacing w:val="20"/>
      <w:sz w:val="28"/>
      <w:szCs w:val="20"/>
      <w:lang w:val="fr-FR"/>
    </w:rPr>
  </w:style>
  <w:style w:type="paragraph" w:customStyle="1" w:styleId="pprag2-notoc">
    <w:name w:val="pprag2 - no toc"/>
    <w:basedOn w:val="Titre3"/>
    <w:qFormat/>
    <w:rsid w:val="00A86C5D"/>
    <w:pPr>
      <w:keepLines w:val="0"/>
      <w:numPr>
        <w:ilvl w:val="1"/>
        <w:numId w:val="10"/>
      </w:numPr>
      <w:tabs>
        <w:tab w:val="clear" w:pos="170"/>
        <w:tab w:val="left" w:pos="1440"/>
      </w:tabs>
      <w:spacing w:before="0" w:after="60" w:line="360" w:lineRule="auto"/>
      <w:ind w:left="1440" w:hanging="360"/>
    </w:pPr>
    <w:rPr>
      <w:rFonts w:ascii="Times New Roman" w:eastAsia="Times New Roman" w:hAnsi="Times New Roman" w:cs="Times New Roman"/>
      <w:b/>
      <w:bCs/>
      <w:color w:val="auto"/>
      <w:szCs w:val="26"/>
      <w:lang w:eastAsia="en-GB"/>
    </w:rPr>
  </w:style>
  <w:style w:type="paragraph" w:customStyle="1" w:styleId="Heading4a">
    <w:name w:val="Heading 4a"/>
    <w:basedOn w:val="Titre4"/>
    <w:link w:val="Heading4aChar"/>
    <w:qFormat/>
    <w:rsid w:val="00A86C5D"/>
    <w:pPr>
      <w:keepLines w:val="0"/>
      <w:numPr>
        <w:ilvl w:val="2"/>
        <w:numId w:val="10"/>
      </w:numPr>
      <w:spacing w:before="0" w:after="60" w:line="360" w:lineRule="auto"/>
      <w:jc w:val="both"/>
    </w:pPr>
    <w:rPr>
      <w:rFonts w:ascii="Times New Roman" w:eastAsia="Times New Roman" w:hAnsi="Times New Roman" w:cs="Times New Roman"/>
      <w:b/>
      <w:i w:val="0"/>
      <w:iCs w:val="0"/>
      <w:color w:val="auto"/>
      <w:szCs w:val="26"/>
      <w:lang w:eastAsia="en-GB"/>
    </w:rPr>
  </w:style>
  <w:style w:type="character" w:customStyle="1" w:styleId="Heading4aChar">
    <w:name w:val="Heading 4a Char"/>
    <w:basedOn w:val="Policepardfaut"/>
    <w:link w:val="Heading4a"/>
    <w:locked/>
    <w:rsid w:val="00A86C5D"/>
    <w:rPr>
      <w:rFonts w:ascii="Times New Roman" w:eastAsia="Times New Roman" w:hAnsi="Times New Roman" w:cs="Times New Roman"/>
      <w:b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A86C5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A86C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corpsdetexte">
    <w:name w:val="Body Text Indent"/>
    <w:basedOn w:val="Normal"/>
    <w:link w:val="RetraitcorpsdetexteCar"/>
    <w:rsid w:val="00320C64"/>
    <w:pPr>
      <w:widowControl w:val="0"/>
      <w:tabs>
        <w:tab w:val="left" w:pos="-720"/>
        <w:tab w:val="left" w:pos="0"/>
        <w:tab w:val="left" w:pos="720"/>
      </w:tabs>
      <w:suppressAutoHyphens/>
      <w:autoSpaceDE w:val="0"/>
      <w:autoSpaceDN w:val="0"/>
      <w:jc w:val="both"/>
    </w:pPr>
    <w:rPr>
      <w:rFonts w:ascii="CG Times" w:eastAsia="Times New Roman" w:hAnsi="CG Times" w:cs="Times New Roman"/>
      <w:spacing w:val="-3"/>
      <w:sz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320C64"/>
    <w:rPr>
      <w:rFonts w:ascii="CG Times" w:eastAsia="Times New Roman" w:hAnsi="CG Times" w:cs="Times New Roman"/>
      <w:spacing w:val="-3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C485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C4853"/>
  </w:style>
  <w:style w:type="paragraph" w:styleId="Pieddepage">
    <w:name w:val="footer"/>
    <w:basedOn w:val="Normal"/>
    <w:link w:val="PieddepageCar"/>
    <w:uiPriority w:val="99"/>
    <w:unhideWhenUsed/>
    <w:rsid w:val="004C485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giab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giab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8858B-07C0-5D4D-8670-967573E7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6061</Characters>
  <Application>Microsoft Office Word</Application>
  <DocSecurity>0</DocSecurity>
  <Lines>50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klein</dc:creator>
  <cp:keywords/>
  <dc:description/>
  <cp:lastModifiedBy>Idrissa Ouattara</cp:lastModifiedBy>
  <cp:revision>3</cp:revision>
  <dcterms:created xsi:type="dcterms:W3CDTF">2021-08-11T22:50:00Z</dcterms:created>
  <dcterms:modified xsi:type="dcterms:W3CDTF">2021-09-01T18:09:00Z</dcterms:modified>
</cp:coreProperties>
</file>