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5174"/>
        <w:gridCol w:w="2070"/>
      </w:tblGrid>
      <w:tr w:rsidR="00273F48" w:rsidRPr="000921FA" w14:paraId="1DF4449E" w14:textId="77777777" w:rsidTr="00273F48">
        <w:tc>
          <w:tcPr>
            <w:tcW w:w="2116" w:type="dxa"/>
          </w:tcPr>
          <w:p w14:paraId="2FCFB46C" w14:textId="07723828" w:rsidR="00273F48" w:rsidRPr="000921FA" w:rsidRDefault="00273F48" w:rsidP="005A5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0921FA">
              <w:rPr>
                <w:rFonts w:ascii="Times New Roman" w:hAnsi="Times New Roman" w:cs="Times New Roman"/>
                <w:noProof/>
                <w:lang w:val="pt-PT"/>
              </w:rPr>
              <w:drawing>
                <wp:inline distT="0" distB="0" distL="0" distR="0" wp14:anchorId="087C5CD0" wp14:editId="664A7806">
                  <wp:extent cx="1206500" cy="804289"/>
                  <wp:effectExtent l="0" t="0" r="0" b="0"/>
                  <wp:docPr id="4" name="Picture 4" descr="132 European Union Symbol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2 European Union Symbol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07" cy="83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14:paraId="4E4965A8" w14:textId="6374302B" w:rsidR="00273F48" w:rsidRPr="000921FA" w:rsidRDefault="00273F48" w:rsidP="005A5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0921FA">
              <w:rPr>
                <w:rFonts w:ascii="Times New Roman" w:hAnsi="Times New Roman" w:cs="Times New Roman"/>
                <w:b/>
                <w:bCs/>
                <w:noProof/>
                <w:lang w:val="pt-PT"/>
              </w:rPr>
              <w:drawing>
                <wp:inline distT="0" distB="0" distL="0" distR="0" wp14:anchorId="341376C5" wp14:editId="7332B51A">
                  <wp:extent cx="846666" cy="8466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17" cy="85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0CDB060" w14:textId="2E4CF270" w:rsidR="00273F48" w:rsidRPr="000921FA" w:rsidRDefault="00273F48" w:rsidP="005A5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0921FA">
              <w:rPr>
                <w:rFonts w:ascii="Times New Roman" w:hAnsi="Times New Roman" w:cs="Times New Roman"/>
                <w:b/>
                <w:bCs/>
                <w:noProof/>
                <w:lang w:val="pt-PT"/>
              </w:rPr>
              <w:drawing>
                <wp:inline distT="0" distB="0" distL="0" distR="0" wp14:anchorId="58FD760C" wp14:editId="0EA68F84">
                  <wp:extent cx="682752" cy="810768"/>
                  <wp:effectExtent l="0" t="0" r="3175" b="889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E91BC" w14:textId="046195BB" w:rsidR="00273F48" w:rsidRPr="000921FA" w:rsidRDefault="00273F48" w:rsidP="005A58BB">
      <w:pPr>
        <w:spacing w:line="360" w:lineRule="auto"/>
        <w:jc w:val="center"/>
        <w:rPr>
          <w:rFonts w:ascii="Times New Roman" w:hAnsi="Times New Roman" w:cs="Times New Roman"/>
          <w:b/>
          <w:bCs/>
          <w:lang w:val="pt-PT"/>
        </w:rPr>
      </w:pPr>
    </w:p>
    <w:p w14:paraId="161B8D8A" w14:textId="284AE5CC" w:rsidR="009A2D51" w:rsidRPr="000921FA" w:rsidRDefault="009A2D51" w:rsidP="00983D0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  <w:lang w:val="pt-PT"/>
        </w:rPr>
      </w:pPr>
      <w:bookmarkStart w:id="0" w:name="_Hlk77184586"/>
      <w:r w:rsidRPr="000921FA">
        <w:rPr>
          <w:rFonts w:ascii="Times New Roman" w:hAnsi="Times New Roman" w:cs="Times New Roman"/>
          <w:b/>
          <w:bCs/>
          <w:u w:val="single"/>
          <w:lang w:val="pt-PT"/>
        </w:rPr>
        <w:t>SOLICITAÇÃO DE MANIFESTAÇÃO DE INTERESSE PARA REALIZAR UMA AVALIAÇÃO DE BRANQUEAMENTO DE CAPITAIS, FINANCIAMENTO DO TERRORISMO E FLUXOS FINANCEIROS ILÍCITOS LIGADOS À CRIMINALIDADE MARÍTIMA NO GOLFO DA GUINÉ</w:t>
      </w:r>
    </w:p>
    <w:bookmarkEnd w:id="0"/>
    <w:p w14:paraId="3C01BF28" w14:textId="77777777" w:rsidR="00983D0D" w:rsidRPr="000921FA" w:rsidRDefault="00983D0D" w:rsidP="00692381">
      <w:pPr>
        <w:spacing w:line="36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14:paraId="51C8E82B" w14:textId="0B4D0074" w:rsidR="003B4973" w:rsidRPr="000921FA" w:rsidRDefault="009B0CF1" w:rsidP="00692381">
      <w:pPr>
        <w:spacing w:line="360" w:lineRule="auto"/>
        <w:jc w:val="both"/>
        <w:rPr>
          <w:rFonts w:ascii="Times New Roman" w:hAnsi="Times New Roman" w:cs="Times New Roman"/>
          <w:b/>
          <w:bCs/>
          <w:lang w:val="pt-PT"/>
        </w:rPr>
      </w:pPr>
      <w:r w:rsidRPr="000921FA">
        <w:rPr>
          <w:rFonts w:ascii="Times New Roman" w:hAnsi="Times New Roman" w:cs="Times New Roman"/>
          <w:b/>
          <w:bCs/>
          <w:lang w:val="pt-PT"/>
        </w:rPr>
        <w:t>CONTEXTO</w:t>
      </w:r>
    </w:p>
    <w:p w14:paraId="4B582880" w14:textId="77777777" w:rsidR="00D65260" w:rsidRPr="000921FA" w:rsidRDefault="00D65260" w:rsidP="00D65260">
      <w:pPr>
        <w:pStyle w:val="Paragraphedeliste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67ABC2CD" w14:textId="77777777" w:rsidR="001C796F" w:rsidRPr="000921FA" w:rsidRDefault="001C796F" w:rsidP="001C796F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lang w:val="pt-PT"/>
        </w:rPr>
      </w:pPr>
      <w:r w:rsidRPr="000921FA">
        <w:rPr>
          <w:rFonts w:ascii="Times New Roman" w:hAnsi="Times New Roman" w:cs="Times New Roman"/>
          <w:lang w:val="pt-PT"/>
        </w:rPr>
        <w:t xml:space="preserve">O vasto Golfo da Guiné, que se estende de Cabo Verde a Angola, é um importante centro de trânsito e facilitador do rápido crescimento económico da região, que tem sido em média de 7% desde 2012. O Golfo da Guiné tornou-se também um centro de abastecimento global de energia, com quantidades significativas de todos os produtos petrolíferos consumidos na Europa, América do Norte e Ásia que transitam por esta via navegável. </w:t>
      </w:r>
      <w:r w:rsidRPr="000921FA">
        <w:rPr>
          <w:rFonts w:ascii="Times New Roman" w:hAnsi="Times New Roman" w:cs="Times New Roman"/>
          <w:b/>
          <w:bCs/>
          <w:lang w:val="pt-PT"/>
        </w:rPr>
        <w:t>Este boom económico, porém, veio com graves ameaças à segurança, em particular no espaço marítimo do Golfo da Guiné.</w:t>
      </w:r>
    </w:p>
    <w:p w14:paraId="4E3CC638" w14:textId="5BDDDD03" w:rsidR="00E11F5D" w:rsidRPr="000921FA" w:rsidRDefault="00E11F5D" w:rsidP="00E11F5D">
      <w:pPr>
        <w:pStyle w:val="Paragraphedeliste"/>
        <w:jc w:val="both"/>
        <w:rPr>
          <w:rFonts w:ascii="Times New Roman" w:hAnsi="Times New Roman" w:cs="Times New Roman"/>
          <w:b/>
          <w:bCs/>
          <w:lang w:val="pt-PT"/>
        </w:rPr>
      </w:pPr>
      <w:r w:rsidRPr="000921FA">
        <w:rPr>
          <w:rFonts w:ascii="Times New Roman" w:hAnsi="Times New Roman" w:cs="Times New Roman"/>
          <w:b/>
          <w:bCs/>
          <w:color w:val="000000" w:themeColor="text1"/>
          <w:lang w:val="pt-PT"/>
        </w:rPr>
        <w:t xml:space="preserve"> </w:t>
      </w:r>
    </w:p>
    <w:p w14:paraId="3F023BAA" w14:textId="7822CC1E" w:rsidR="001C796F" w:rsidRPr="000921FA" w:rsidRDefault="001C796F" w:rsidP="001C796F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O número de ataques à navegação no Golfo da Guiné é assustadoramente elevado, com o Gabinete Marítimo Internacional (GMI) a reportar um total de 82 incidentes de pirataria e 130 raptos de marinheiros, de longe os maiores do mundo. Embora a tendência tenha diminuído ligeiramente em 2021, a região continua a ser traiçoeira, sendo responsável "por todos os 50 tripulantes raptados e pela única ocorrência fatal com uma tripulação registada pelo GMI" em 2021. </w:t>
      </w:r>
      <w:r w:rsidRPr="000921FA">
        <w:rPr>
          <w:rFonts w:ascii="Times New Roman" w:hAnsi="Times New Roman" w:cs="Times New Roman"/>
          <w:b/>
          <w:bCs/>
          <w:color w:val="000000" w:themeColor="text1"/>
          <w:lang w:val="pt-PT"/>
        </w:rPr>
        <w:t>Supõe-se que muitos dos roubos de navios são oportunistas, particularmente em áreas portuárias maiores como Lagos na Nigéria.</w:t>
      </w:r>
    </w:p>
    <w:p w14:paraId="3F7F19DA" w14:textId="77777777" w:rsidR="0009678B" w:rsidRPr="000921FA" w:rsidRDefault="0009678B" w:rsidP="0009678B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</w:p>
    <w:p w14:paraId="69FD8FB6" w14:textId="6F236DD5" w:rsidR="0009678B" w:rsidRPr="000921FA" w:rsidRDefault="0009678B" w:rsidP="001C796F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Podem estar envolvidos vários intervenientes diferentes, incluindo membros corruptos das forças de segurança e grupos militantes regionais, tais como os Vingadores do Delta do Níger, por vezes trabalhando em conluio. Grande parte do petróleo roubado que é processado em "refinarias de mato" artesanais é depois vendido diretamente a grossistas, estações de serviço ou ao longo da estrada. Embora os produtos petrolíferos nigerianos ilegais sejam amplamente vendidos a motoristas no Benim, </w:t>
      </w:r>
      <w:r w:rsidR="0038524D">
        <w:rPr>
          <w:rFonts w:ascii="Times New Roman" w:hAnsi="Times New Roman" w:cs="Times New Roman"/>
          <w:color w:val="000000" w:themeColor="text1"/>
          <w:lang w:val="pt-PT"/>
        </w:rPr>
        <w:t xml:space="preserve">no 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Togo e na própria Nigéria, </w:t>
      </w:r>
      <w:r w:rsidRPr="000921FA">
        <w:rPr>
          <w:rFonts w:ascii="Times New Roman" w:hAnsi="Times New Roman" w:cs="Times New Roman"/>
          <w:b/>
          <w:bCs/>
          <w:color w:val="000000" w:themeColor="text1"/>
          <w:lang w:val="pt-PT"/>
        </w:rPr>
        <w:t>pouco se sabe sobre os circuitos financeiros que sustentam este comércio e as suas ligações à criminalidade marítima mais vasta no Golfo.</w:t>
      </w:r>
    </w:p>
    <w:p w14:paraId="6CE1E677" w14:textId="316B97C2" w:rsidR="0009678B" w:rsidRPr="000921FA" w:rsidRDefault="0009678B" w:rsidP="0009678B">
      <w:pPr>
        <w:pStyle w:val="Paragraphedeliste"/>
        <w:rPr>
          <w:rFonts w:ascii="Times New Roman" w:hAnsi="Times New Roman" w:cs="Times New Roman"/>
          <w:color w:val="000000" w:themeColor="text1"/>
          <w:lang w:val="pt-PT"/>
        </w:rPr>
      </w:pPr>
    </w:p>
    <w:p w14:paraId="2C6B024E" w14:textId="77777777" w:rsidR="0009678B" w:rsidRPr="000921FA" w:rsidRDefault="0009678B" w:rsidP="0009678B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A União Europeia (UE) está a implementar o programa de Apoio à Segurança Marítima Integrada da África Ocidental (SWAIMS), em colaboração com o Grupo Intergovernamental de Ação contra o Branqueamento de Capitais na África Ocidental (GIABA), como parte da Estratégia da UE para o Golfo da Guiné. A estratégia reconhece que os interesses da CEDEAO e da UE estão alinhados na promoção da segurança da região, uma vez que a UE apoiou a segurança regional através de uma série de outras iniciativas semelhantes. O GIABA é a instituição da CEDEAO responsável pelo reforço da capacidade dos Estados-Membros para a prevenção e o controlo do branqueamento de capitais e do financiamento do terrorismo (BC/FT).  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lastRenderedPageBreak/>
        <w:t>Apoia o trabalho das Unidades de Informação Financeira Nacionais (UIFs dentro de cada Estado-Membro na comunicação de transações financeiras suspeitas e investigações de acompanhamento).</w:t>
      </w:r>
    </w:p>
    <w:p w14:paraId="024003E4" w14:textId="77777777" w:rsidR="0009678B" w:rsidRPr="000921FA" w:rsidRDefault="0009678B" w:rsidP="0009678B">
      <w:pPr>
        <w:pStyle w:val="Paragraphedeliste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63565397" w14:textId="1FF11757" w:rsidR="00EA53CD" w:rsidRPr="000921FA" w:rsidRDefault="00EA53CD" w:rsidP="00EA53CD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O programa SWAIMS é uma resposta coerente concebida para aumentar a capacidade dos intervenientes de segurança e não segurança na luta contra a criminalidade marítima, tal como a pirataria marítima, o roubo de petróleo e a pesca ilegal. Uma componente centra-se no branqueamento dos produtos dos crimes cometidos no mar por redes criminosas. </w:t>
      </w:r>
      <w:r w:rsidRPr="000921FA">
        <w:rPr>
          <w:rFonts w:ascii="Times New Roman" w:hAnsi="Times New Roman" w:cs="Times New Roman"/>
          <w:b/>
          <w:bCs/>
          <w:color w:val="000000" w:themeColor="text1"/>
          <w:lang w:val="pt-PT"/>
        </w:rPr>
        <w:t>Contudo, a falta de conhecimentos sobre os lucros financeiros destes crimes, tal como anteriormente mencionado, impede investigações eficazes sobre pirataria, abastecimento de petróleo, pesca ilegal e incidentes de corrupção associados.</w:t>
      </w:r>
    </w:p>
    <w:p w14:paraId="045B45A9" w14:textId="77777777" w:rsidR="00EA53CD" w:rsidRPr="000921FA" w:rsidRDefault="00EA53CD" w:rsidP="00EA53CD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</w:p>
    <w:p w14:paraId="03C9C004" w14:textId="77777777" w:rsidR="00EA53CD" w:rsidRPr="000921FA" w:rsidRDefault="00EA53CD" w:rsidP="00EA53CD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O objetivo geral deste exercício </w:t>
      </w:r>
      <w:r w:rsidRPr="000921FA">
        <w:rPr>
          <w:rFonts w:ascii="Times New Roman" w:hAnsi="Times New Roman" w:cs="Times New Roman"/>
          <w:b/>
          <w:bCs/>
          <w:color w:val="000000" w:themeColor="text1"/>
          <w:lang w:val="pt-PT"/>
        </w:rPr>
        <w:t>é compreender os mecanismos de branqueamento através dos quais os rendimentos financeiros das diferentes formas de crime marítimo entram na economia e o significado e impacto que estes fluxos financeiros têm nas economias regionais.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 A investigação deve identificar também os pontos nodais em que os grupos criminosos envolvidos no crime marítimo se relacionam com a economia formal.</w:t>
      </w:r>
    </w:p>
    <w:p w14:paraId="7F193034" w14:textId="77777777" w:rsidR="00EA53CD" w:rsidRPr="000921FA" w:rsidRDefault="00EA53CD" w:rsidP="00EA53CD">
      <w:pPr>
        <w:pStyle w:val="Paragraphedeliste"/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</w:p>
    <w:p w14:paraId="75DD1029" w14:textId="08C7EC4D" w:rsidR="00971FC8" w:rsidRPr="000921FA" w:rsidRDefault="00971FC8" w:rsidP="001C796F">
      <w:pPr>
        <w:pStyle w:val="Paragraphedeliste"/>
        <w:numPr>
          <w:ilvl w:val="0"/>
          <w:numId w:val="14"/>
        </w:num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>Tendo em conta o acima exposto, o GIABA planeia agora recrutar Consultores Individuais para realizar estudos específicos do país sobre branqueamento de capitais, financiamento do terrorismo e fluxos financeiros ilícitos ligados à criminalidade marítima no Golfo da Guiné.</w:t>
      </w:r>
    </w:p>
    <w:p w14:paraId="7243AE3C" w14:textId="0733172D" w:rsidR="00A17A0F" w:rsidRPr="000921FA" w:rsidRDefault="00F250F6" w:rsidP="00A17A0F">
      <w:pPr>
        <w:spacing w:line="360" w:lineRule="auto"/>
        <w:jc w:val="both"/>
        <w:rPr>
          <w:rFonts w:ascii="Times New Roman" w:hAnsi="Times New Roman" w:cs="Times New Roman"/>
          <w:b/>
          <w:bCs/>
          <w:lang w:val="pt-PT"/>
        </w:rPr>
      </w:pPr>
      <w:r w:rsidRPr="000921FA">
        <w:rPr>
          <w:rFonts w:ascii="Times New Roman" w:hAnsi="Times New Roman" w:cs="Times New Roman"/>
          <w:b/>
          <w:bCs/>
          <w:lang w:val="pt-PT"/>
        </w:rPr>
        <w:t>Nature</w:t>
      </w:r>
      <w:r w:rsidR="00971FC8" w:rsidRPr="000921FA">
        <w:rPr>
          <w:rFonts w:ascii="Times New Roman" w:hAnsi="Times New Roman" w:cs="Times New Roman"/>
          <w:b/>
          <w:bCs/>
          <w:lang w:val="pt-PT"/>
        </w:rPr>
        <w:t>za da Missão</w:t>
      </w:r>
      <w:r w:rsidRPr="000921FA">
        <w:rPr>
          <w:rFonts w:ascii="Times New Roman" w:hAnsi="Times New Roman" w:cs="Times New Roman"/>
          <w:b/>
          <w:bCs/>
          <w:lang w:val="pt-PT"/>
        </w:rPr>
        <w:t xml:space="preserve"> </w:t>
      </w:r>
    </w:p>
    <w:p w14:paraId="5CA765FC" w14:textId="302382A3" w:rsidR="00971FC8" w:rsidRPr="000921FA" w:rsidRDefault="00971FC8" w:rsidP="001C796F">
      <w:pPr>
        <w:pStyle w:val="Paragraphedeliste"/>
        <w:numPr>
          <w:ilvl w:val="0"/>
          <w:numId w:val="14"/>
        </w:numPr>
        <w:spacing w:after="160" w:line="276" w:lineRule="auto"/>
        <w:jc w:val="both"/>
        <w:rPr>
          <w:rFonts w:ascii="Times New Roman" w:hAnsi="Times New Roman"/>
          <w:color w:val="000000"/>
          <w:lang w:val="pt-PT" w:eastAsia="en-GB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>A natureza e o âmbito da missão são os seguintes:</w:t>
      </w:r>
    </w:p>
    <w:p w14:paraId="7B7B2554" w14:textId="77777777" w:rsidR="00C4413E" w:rsidRPr="000921FA" w:rsidRDefault="00C4413E" w:rsidP="00C4413E">
      <w:pPr>
        <w:pStyle w:val="Paragraphedeliste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163F2DF3" w14:textId="77777777" w:rsidR="00BE1AC7" w:rsidRPr="000921FA" w:rsidRDefault="00BE1AC7" w:rsidP="00BE1AC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0921FA">
        <w:rPr>
          <w:rFonts w:ascii="Times New Roman" w:hAnsi="Times New Roman" w:cs="Times New Roman"/>
          <w:lang w:val="pt-PT"/>
        </w:rPr>
        <w:t>Análise da situação da criminalidade marítima na África Ocidental, incluindo uma descrição dos diferentes tipos de economias criminosas e dos diferentes intervenientes envolvidos;</w:t>
      </w:r>
    </w:p>
    <w:p w14:paraId="62FCFAC0" w14:textId="77777777" w:rsidR="00BE1AC7" w:rsidRPr="000921FA" w:rsidRDefault="00BE1AC7" w:rsidP="00BE1AC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0921FA">
        <w:rPr>
          <w:rFonts w:ascii="Times New Roman" w:hAnsi="Times New Roman" w:cs="Times New Roman"/>
          <w:lang w:val="pt-PT"/>
        </w:rPr>
        <w:t>Identificação de exemplos de casos específicos de cada país que revelem as ligações entre a criminalidade marítima e os fluxos financeiros ilícitos na região;</w:t>
      </w:r>
    </w:p>
    <w:p w14:paraId="407FA08B" w14:textId="77777777" w:rsidR="00BE1AC7" w:rsidRPr="000921FA" w:rsidRDefault="00BE1AC7" w:rsidP="00BE1AC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0921FA">
        <w:rPr>
          <w:rFonts w:ascii="Times New Roman" w:hAnsi="Times New Roman" w:cs="Times New Roman"/>
          <w:lang w:val="pt-PT"/>
        </w:rPr>
        <w:t xml:space="preserve">Identificação clara das lacunas operacionais nas respostas de cada país à criminalidade marítima e fluxos financeiros ilícitos associados; e </w:t>
      </w:r>
    </w:p>
    <w:p w14:paraId="40202025" w14:textId="3E813C1A" w:rsidR="00BE1AC7" w:rsidRPr="000921FA" w:rsidRDefault="00BE1AC7" w:rsidP="00BE1AC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0921FA">
        <w:rPr>
          <w:rFonts w:ascii="Times New Roman" w:hAnsi="Times New Roman" w:cs="Times New Roman"/>
          <w:lang w:val="pt-PT"/>
        </w:rPr>
        <w:t>Formulação de recomendações políticas e operacionais sobre como enfrentar eficazmente os desafios identificados;</w:t>
      </w:r>
    </w:p>
    <w:p w14:paraId="39AC0A84" w14:textId="77777777" w:rsidR="00BE1AC7" w:rsidRPr="000921FA" w:rsidRDefault="00BE1AC7" w:rsidP="00BE1AC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0921FA">
        <w:rPr>
          <w:rFonts w:ascii="Times New Roman" w:hAnsi="Times New Roman" w:cs="Times New Roman"/>
          <w:lang w:val="pt-PT"/>
        </w:rPr>
        <w:t>Avaliar a dimensão género, tendo em conta o impacto que estas ações criminosas têm e o papel desempenhado em redes criminosas por homens e mulheres, respetivamente.</w:t>
      </w:r>
    </w:p>
    <w:p w14:paraId="32217033" w14:textId="77777777" w:rsidR="00497727" w:rsidRPr="000921FA" w:rsidRDefault="00497727" w:rsidP="00497727">
      <w:pPr>
        <w:pStyle w:val="Paragraphedeliste"/>
        <w:spacing w:line="276" w:lineRule="auto"/>
        <w:ind w:left="1800"/>
        <w:jc w:val="both"/>
        <w:rPr>
          <w:rFonts w:ascii="Times New Roman" w:hAnsi="Times New Roman" w:cs="Times New Roman"/>
          <w:lang w:val="pt-PT"/>
        </w:rPr>
      </w:pPr>
    </w:p>
    <w:p w14:paraId="1027F15C" w14:textId="61033DDB" w:rsidR="00D81947" w:rsidRPr="000921FA" w:rsidRDefault="00612C18" w:rsidP="004D468C">
      <w:pPr>
        <w:pStyle w:val="Paragraphedeliste"/>
        <w:spacing w:after="200" w:line="360" w:lineRule="auto"/>
        <w:ind w:left="0"/>
        <w:jc w:val="both"/>
        <w:rPr>
          <w:rFonts w:ascii="Times New Roman" w:hAnsi="Times New Roman"/>
          <w:b/>
          <w:bCs/>
          <w:color w:val="000000"/>
          <w:lang w:val="pt-PT" w:eastAsia="en-GB"/>
        </w:rPr>
      </w:pPr>
      <w:r w:rsidRPr="000921FA">
        <w:rPr>
          <w:rFonts w:ascii="Times New Roman" w:hAnsi="Times New Roman"/>
          <w:b/>
          <w:bCs/>
          <w:color w:val="000000"/>
          <w:lang w:val="pt-PT" w:eastAsia="en-GB"/>
        </w:rPr>
        <w:t>Sequ</w:t>
      </w:r>
      <w:r w:rsidR="00BE1AC7" w:rsidRPr="000921FA">
        <w:rPr>
          <w:rFonts w:ascii="Times New Roman" w:hAnsi="Times New Roman"/>
          <w:b/>
          <w:bCs/>
          <w:color w:val="000000"/>
          <w:lang w:val="pt-PT" w:eastAsia="en-GB"/>
        </w:rPr>
        <w:t>ência de resultados</w:t>
      </w:r>
    </w:p>
    <w:p w14:paraId="0AA30647" w14:textId="130C3B1C" w:rsidR="00BE1AC7" w:rsidRPr="000921FA" w:rsidRDefault="00BE1AC7" w:rsidP="00BE1AC7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bookmarkStart w:id="1" w:name="_Hlk77183827"/>
      <w:r w:rsidRPr="000921FA">
        <w:rPr>
          <w:rFonts w:ascii="Times New Roman" w:hAnsi="Times New Roman" w:cs="Times New Roman"/>
          <w:color w:val="000000" w:themeColor="text1"/>
          <w:lang w:val="pt-PT"/>
        </w:rPr>
        <w:t>Espera-se que o Consultor Nacional produza um relatório com um mínimo de 50 páginas, excluindo anexos e referências, de acordo com o seguinte cronograma:</w:t>
      </w:r>
    </w:p>
    <w:p w14:paraId="55CE5189" w14:textId="77777777" w:rsidR="00BE1AC7" w:rsidRPr="000921FA" w:rsidRDefault="00BE1AC7" w:rsidP="00BE1A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3624A26E" w14:textId="77777777" w:rsidR="002405B9" w:rsidRPr="000921FA" w:rsidRDefault="002405B9" w:rsidP="002405B9">
      <w:pPr>
        <w:pStyle w:val="Paragraphedeliste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bookmarkEnd w:id="1"/>
    <w:p w14:paraId="1305EDAB" w14:textId="77777777" w:rsidR="00BE1AC7" w:rsidRPr="000921FA" w:rsidRDefault="00BE1AC7" w:rsidP="00BE1A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lang w:val="pt-PT"/>
        </w:rPr>
      </w:pPr>
      <w:r w:rsidRPr="000921FA">
        <w:rPr>
          <w:rFonts w:ascii="Times New Roman" w:hAnsi="Times New Roman"/>
          <w:lang w:val="pt-PT"/>
        </w:rPr>
        <w:t xml:space="preserve">Um relatório inicial a ser apresentado </w:t>
      </w:r>
      <w:r w:rsidRPr="000921FA">
        <w:rPr>
          <w:rFonts w:ascii="Times New Roman" w:hAnsi="Times New Roman"/>
          <w:b/>
          <w:bCs/>
          <w:lang w:val="pt-PT"/>
        </w:rPr>
        <w:t>duas (02) semanas após a assinatura</w:t>
      </w:r>
      <w:r w:rsidRPr="000921FA">
        <w:rPr>
          <w:rFonts w:ascii="Times New Roman" w:hAnsi="Times New Roman"/>
          <w:lang w:val="pt-PT"/>
        </w:rPr>
        <w:t xml:space="preserve"> do contrato;</w:t>
      </w:r>
    </w:p>
    <w:p w14:paraId="657B628E" w14:textId="77777777" w:rsidR="00BE1AC7" w:rsidRPr="000921FA" w:rsidRDefault="00BE1AC7" w:rsidP="00BE1A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lang w:val="pt-PT"/>
        </w:rPr>
      </w:pPr>
      <w:r w:rsidRPr="000921FA">
        <w:rPr>
          <w:rFonts w:ascii="Times New Roman" w:hAnsi="Times New Roman"/>
          <w:lang w:val="pt-PT"/>
        </w:rPr>
        <w:t xml:space="preserve">Primeiro projeto de relatório a ser apresentado ao Secretariado do GIABA </w:t>
      </w:r>
      <w:r w:rsidRPr="000921FA">
        <w:rPr>
          <w:rFonts w:ascii="Times New Roman" w:hAnsi="Times New Roman"/>
          <w:b/>
          <w:bCs/>
          <w:lang w:val="pt-PT"/>
        </w:rPr>
        <w:t>dentro de dois (02) meses após</w:t>
      </w:r>
      <w:r w:rsidRPr="000921FA">
        <w:rPr>
          <w:rFonts w:ascii="Times New Roman" w:hAnsi="Times New Roman"/>
          <w:lang w:val="pt-PT"/>
        </w:rPr>
        <w:t xml:space="preserve"> a apresentação do relatório inicial;</w:t>
      </w:r>
    </w:p>
    <w:p w14:paraId="4980CC95" w14:textId="67ACB51E" w:rsidR="00BE1AC7" w:rsidRPr="000921FA" w:rsidRDefault="00BE1AC7" w:rsidP="00BE1A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lang w:val="pt-PT"/>
        </w:rPr>
      </w:pPr>
      <w:r w:rsidRPr="000921FA">
        <w:rPr>
          <w:rFonts w:ascii="Times New Roman" w:hAnsi="Times New Roman"/>
          <w:lang w:val="pt-PT"/>
        </w:rPr>
        <w:t xml:space="preserve">O Secretariado do GIABA revê e informa o consultor nacional num prazo máximo de </w:t>
      </w:r>
      <w:r w:rsidRPr="000921FA">
        <w:rPr>
          <w:rFonts w:ascii="Times New Roman" w:hAnsi="Times New Roman"/>
          <w:b/>
          <w:bCs/>
          <w:lang w:val="pt-PT"/>
        </w:rPr>
        <w:t>um mês após a receção</w:t>
      </w:r>
      <w:r w:rsidRPr="000921FA">
        <w:rPr>
          <w:rFonts w:ascii="Times New Roman" w:hAnsi="Times New Roman"/>
          <w:lang w:val="pt-PT"/>
        </w:rPr>
        <w:t xml:space="preserve"> do primeiro projeto de relatório;</w:t>
      </w:r>
    </w:p>
    <w:p w14:paraId="6D3558A7" w14:textId="77777777" w:rsidR="00BE1AC7" w:rsidRPr="000921FA" w:rsidRDefault="00BE1AC7" w:rsidP="00BE1A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lang w:val="pt-PT"/>
        </w:rPr>
      </w:pPr>
      <w:r w:rsidRPr="000921FA">
        <w:rPr>
          <w:rFonts w:ascii="Times New Roman" w:hAnsi="Times New Roman"/>
          <w:lang w:val="pt-PT"/>
        </w:rPr>
        <w:t xml:space="preserve">Segundo projeto de relatório a ser apresentado ao Secretariado do GIABA </w:t>
      </w:r>
      <w:r w:rsidRPr="000921FA">
        <w:rPr>
          <w:rFonts w:ascii="Times New Roman" w:hAnsi="Times New Roman"/>
          <w:b/>
          <w:bCs/>
          <w:lang w:val="pt-PT"/>
        </w:rPr>
        <w:t>duas (02) semanas após</w:t>
      </w:r>
      <w:r w:rsidRPr="000921FA">
        <w:rPr>
          <w:rFonts w:ascii="Times New Roman" w:hAnsi="Times New Roman"/>
          <w:lang w:val="pt-PT"/>
        </w:rPr>
        <w:t xml:space="preserve"> a receção dos comentários do Secretariado do GIABA.</w:t>
      </w:r>
    </w:p>
    <w:p w14:paraId="02DA0D98" w14:textId="2243C623" w:rsidR="00BE1AC7" w:rsidRPr="000921FA" w:rsidRDefault="00BE1AC7" w:rsidP="001C796F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Os Consultores individuais são convidados a manifestar interesse na prestação dos serviços acima referidos. Os Consultores interessados devem apresentar a sua manifestação de interesse acompanhada do seu Curriculum Vitae, indicando que estão qualificados para realizar os serviços. Os candidatos devem ainda </w:t>
      </w:r>
      <w:r w:rsidRPr="000921FA">
        <w:rPr>
          <w:rFonts w:ascii="Times New Roman" w:hAnsi="Times New Roman" w:cs="Times New Roman"/>
          <w:b/>
          <w:bCs/>
          <w:color w:val="000000" w:themeColor="text1"/>
          <w:lang w:val="pt-PT"/>
        </w:rPr>
        <w:t>apresentar um resumo (máximo de uma página) sobre como entendem a tarefa e como planeiam realizá-la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. São também encorajados a apoiar a sua candidatura com quaisquer outras informações, </w:t>
      </w:r>
      <w:r w:rsidR="00745DE7" w:rsidRPr="000921FA">
        <w:rPr>
          <w:rFonts w:ascii="Times New Roman" w:hAnsi="Times New Roman" w:cs="Times New Roman"/>
          <w:color w:val="000000" w:themeColor="text1"/>
          <w:lang w:val="pt-PT"/>
        </w:rPr>
        <w:t>quando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745DE7" w:rsidRPr="000921FA">
        <w:rPr>
          <w:rFonts w:ascii="Times New Roman" w:hAnsi="Times New Roman" w:cs="Times New Roman"/>
          <w:color w:val="000000" w:themeColor="text1"/>
          <w:lang w:val="pt-PT"/>
        </w:rPr>
        <w:t>existirem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 (brochuras, descrição de </w:t>
      </w:r>
      <w:r w:rsidR="00745DE7" w:rsidRPr="000921FA">
        <w:rPr>
          <w:rFonts w:ascii="Times New Roman" w:hAnsi="Times New Roman" w:cs="Times New Roman"/>
          <w:color w:val="000000" w:themeColor="text1"/>
          <w:lang w:val="pt-PT"/>
        </w:rPr>
        <w:t>missões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 semelhantes, experiência em contextos semelhantes, etc.).  </w:t>
      </w:r>
    </w:p>
    <w:p w14:paraId="3908467F" w14:textId="77777777" w:rsidR="00320C64" w:rsidRPr="000921FA" w:rsidRDefault="00320C64" w:rsidP="00320C64">
      <w:pPr>
        <w:pStyle w:val="Paragraphedeliste"/>
        <w:spacing w:line="276" w:lineRule="auto"/>
        <w:ind w:left="1065"/>
        <w:jc w:val="both"/>
        <w:rPr>
          <w:rFonts w:ascii="Times New Roman" w:hAnsi="Times New Roman"/>
          <w:color w:val="000000"/>
          <w:lang w:val="pt-PT" w:eastAsia="en-GB"/>
        </w:rPr>
      </w:pPr>
    </w:p>
    <w:p w14:paraId="66C1D5FE" w14:textId="66000A0C" w:rsidR="00745DE7" w:rsidRPr="000921FA" w:rsidRDefault="00745DE7" w:rsidP="001C796F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Os consultores serão selecionados em total conformidade com o Código de Aquisições da CEDEAO.  Uma quantia fixa de </w:t>
      </w:r>
      <w:r w:rsidRPr="000921FA">
        <w:rPr>
          <w:rFonts w:ascii="Times New Roman" w:hAnsi="Times New Roman" w:cs="Times New Roman"/>
          <w:b/>
          <w:bCs/>
          <w:color w:val="000000" w:themeColor="text1"/>
          <w:lang w:val="pt-PT"/>
        </w:rPr>
        <w:t>cinco mil dólares americanos ($5000)</w:t>
      </w:r>
      <w:r w:rsidRPr="000921FA">
        <w:rPr>
          <w:rFonts w:ascii="Times New Roman" w:hAnsi="Times New Roman" w:cs="Times New Roman"/>
          <w:color w:val="000000" w:themeColor="text1"/>
          <w:lang w:val="pt-PT"/>
        </w:rPr>
        <w:t xml:space="preserve"> será paga ao consultor, sujeita aos termos de um contrato mutuamente acordado.  </w:t>
      </w:r>
    </w:p>
    <w:p w14:paraId="4D7F8552" w14:textId="77777777" w:rsidR="00320C64" w:rsidRPr="000921FA" w:rsidRDefault="00320C64" w:rsidP="00320C64">
      <w:pPr>
        <w:spacing w:line="276" w:lineRule="auto"/>
        <w:jc w:val="both"/>
        <w:rPr>
          <w:rFonts w:ascii="Times New Roman" w:hAnsi="Times New Roman"/>
          <w:color w:val="000000"/>
          <w:lang w:val="pt-PT" w:eastAsia="en-GB"/>
        </w:rPr>
      </w:pPr>
    </w:p>
    <w:p w14:paraId="4C63ED3E" w14:textId="4A14D787" w:rsidR="00745DE7" w:rsidRPr="000921FA" w:rsidRDefault="00745DE7" w:rsidP="001C796F">
      <w:pPr>
        <w:pStyle w:val="Paragraphedeliste"/>
        <w:numPr>
          <w:ilvl w:val="0"/>
          <w:numId w:val="14"/>
        </w:numPr>
        <w:spacing w:after="160" w:line="276" w:lineRule="auto"/>
        <w:jc w:val="both"/>
        <w:rPr>
          <w:rFonts w:ascii="Times New Roman" w:hAnsi="Times New Roman"/>
          <w:color w:val="000000"/>
          <w:lang w:val="pt-PT" w:eastAsia="en-GB"/>
        </w:rPr>
      </w:pPr>
      <w:r w:rsidRPr="000921FA">
        <w:rPr>
          <w:rFonts w:ascii="Times New Roman" w:hAnsi="Times New Roman"/>
          <w:color w:val="000000"/>
          <w:lang w:val="pt-PT" w:eastAsia="en-GB"/>
        </w:rPr>
        <w:t xml:space="preserve">As manifestações de interesse devem ser enviadas por e-mail para o endereço abaixo até </w:t>
      </w:r>
      <w:r w:rsidR="007603C6">
        <w:rPr>
          <w:rFonts w:ascii="Times New Roman" w:hAnsi="Times New Roman"/>
          <w:b/>
          <w:bCs/>
          <w:color w:val="000000"/>
          <w:lang w:val="pt-PT" w:eastAsia="en-GB"/>
        </w:rPr>
        <w:t>quinta</w:t>
      </w:r>
      <w:r w:rsidRPr="000921FA">
        <w:rPr>
          <w:rFonts w:ascii="Times New Roman" w:hAnsi="Times New Roman"/>
          <w:b/>
          <w:bCs/>
          <w:color w:val="000000"/>
          <w:lang w:val="pt-PT" w:eastAsia="en-GB"/>
        </w:rPr>
        <w:t xml:space="preserve">-feira 30 de </w:t>
      </w:r>
      <w:r w:rsidR="007603C6">
        <w:rPr>
          <w:rFonts w:ascii="Times New Roman" w:hAnsi="Times New Roman"/>
          <w:b/>
          <w:bCs/>
          <w:color w:val="000000"/>
          <w:lang w:val="pt-PT" w:eastAsia="en-GB"/>
        </w:rPr>
        <w:t>setembro</w:t>
      </w:r>
      <w:r w:rsidRPr="000921FA">
        <w:rPr>
          <w:rFonts w:ascii="Times New Roman" w:hAnsi="Times New Roman"/>
          <w:b/>
          <w:bCs/>
          <w:color w:val="000000"/>
          <w:lang w:val="pt-PT" w:eastAsia="en-GB"/>
        </w:rPr>
        <w:t xml:space="preserve"> de 2021</w:t>
      </w:r>
      <w:r w:rsidRPr="000921FA">
        <w:rPr>
          <w:rFonts w:ascii="Times New Roman" w:hAnsi="Times New Roman"/>
          <w:color w:val="000000"/>
          <w:lang w:val="pt-PT" w:eastAsia="en-GB"/>
        </w:rPr>
        <w:t xml:space="preserve"> ao meio-dia GMT, com o título de consultoria claramente identificado na apresentação.</w:t>
      </w:r>
    </w:p>
    <w:p w14:paraId="7E6FEF5E" w14:textId="77777777" w:rsidR="00320C64" w:rsidRPr="000921FA" w:rsidRDefault="00320C64" w:rsidP="00320C64">
      <w:pPr>
        <w:pStyle w:val="Paragraphedeliste"/>
        <w:rPr>
          <w:rFonts w:ascii="Times New Roman" w:hAnsi="Times New Roman"/>
          <w:color w:val="000000"/>
          <w:lang w:val="pt-PT" w:eastAsia="en-GB"/>
        </w:rPr>
      </w:pPr>
    </w:p>
    <w:p w14:paraId="68A94C12" w14:textId="4AFD22FC" w:rsidR="00320C64" w:rsidRPr="000921FA" w:rsidRDefault="00320C64" w:rsidP="00320C64">
      <w:pPr>
        <w:pStyle w:val="Retraitcorpsdetexte"/>
        <w:jc w:val="center"/>
        <w:rPr>
          <w:rFonts w:ascii="Times New Roman" w:hAnsi="Times New Roman"/>
          <w:b/>
          <w:sz w:val="22"/>
          <w:szCs w:val="22"/>
          <w:lang w:val="pt-PT"/>
        </w:rPr>
      </w:pPr>
      <w:r w:rsidRPr="000921FA">
        <w:rPr>
          <w:rFonts w:ascii="Times New Roman" w:hAnsi="Times New Roman"/>
          <w:b/>
          <w:sz w:val="22"/>
          <w:szCs w:val="22"/>
          <w:lang w:val="pt-PT"/>
        </w:rPr>
        <w:t>Dire</w:t>
      </w:r>
      <w:r w:rsidR="00745DE7" w:rsidRPr="000921FA">
        <w:rPr>
          <w:rFonts w:ascii="Times New Roman" w:hAnsi="Times New Roman"/>
          <w:b/>
          <w:sz w:val="22"/>
          <w:szCs w:val="22"/>
          <w:lang w:val="pt-PT"/>
        </w:rPr>
        <w:t>t</w:t>
      </w:r>
      <w:r w:rsidRPr="000921FA">
        <w:rPr>
          <w:rFonts w:ascii="Times New Roman" w:hAnsi="Times New Roman"/>
          <w:b/>
          <w:sz w:val="22"/>
          <w:szCs w:val="22"/>
          <w:lang w:val="pt-PT"/>
        </w:rPr>
        <w:t>or Geral</w:t>
      </w:r>
    </w:p>
    <w:p w14:paraId="41D83FC2" w14:textId="43DE68C5" w:rsidR="00320C64" w:rsidRPr="000921FA" w:rsidRDefault="00745DE7" w:rsidP="00320C6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</w:pPr>
      <w:r w:rsidRPr="000921FA"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  <w:t xml:space="preserve"> Grupo Intergovernamental de Ação contra o Branqueamento de Capitais na África Ocidental </w:t>
      </w:r>
      <w:r w:rsidR="00320C64" w:rsidRPr="000921FA"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  <w:t>(GIABA)</w:t>
      </w:r>
    </w:p>
    <w:p w14:paraId="2012BA90" w14:textId="77777777" w:rsidR="00320C64" w:rsidRPr="007603C6" w:rsidRDefault="00320C64" w:rsidP="00320C6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</w:pPr>
      <w:r w:rsidRPr="007603C6"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  <w:t>Complexe SICAP, Point E, 1</w:t>
      </w:r>
      <w:r w:rsidRPr="007603C6">
        <w:rPr>
          <w:rFonts w:ascii="Times New Roman" w:hAnsi="Times New Roman"/>
          <w:color w:val="4472C4" w:themeColor="accent1"/>
          <w:spacing w:val="-3"/>
          <w:sz w:val="22"/>
          <w:szCs w:val="22"/>
          <w:vertAlign w:val="superscript"/>
          <w:lang w:val="pt-PT"/>
        </w:rPr>
        <w:t>er</w:t>
      </w:r>
      <w:r w:rsidRPr="007603C6"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  <w:t xml:space="preserve"> Etage, Immeuble A</w:t>
      </w:r>
    </w:p>
    <w:p w14:paraId="098BEBED" w14:textId="77777777" w:rsidR="00320C64" w:rsidRPr="000921FA" w:rsidRDefault="00320C64" w:rsidP="00320C6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</w:pPr>
      <w:r w:rsidRPr="000921FA"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  <w:t>Av. Cheikh Anta Diop x Canal IV, BP 32400</w:t>
      </w:r>
    </w:p>
    <w:p w14:paraId="57E68CC2" w14:textId="77777777" w:rsidR="00320C64" w:rsidRPr="000921FA" w:rsidRDefault="00320C64" w:rsidP="00320C6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</w:pPr>
      <w:r w:rsidRPr="000921FA"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  <w:t>Dakar, Senegal</w:t>
      </w:r>
    </w:p>
    <w:p w14:paraId="42B2C804" w14:textId="77777777" w:rsidR="00320C64" w:rsidRPr="000921FA" w:rsidRDefault="00320C64" w:rsidP="00320C6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</w:pPr>
      <w:r w:rsidRPr="000921FA">
        <w:rPr>
          <w:rFonts w:ascii="Times New Roman" w:hAnsi="Times New Roman"/>
          <w:color w:val="4472C4" w:themeColor="accent1"/>
          <w:spacing w:val="-3"/>
          <w:sz w:val="22"/>
          <w:szCs w:val="22"/>
          <w:lang w:val="pt-PT"/>
        </w:rPr>
        <w:t>Tel: +221 33 859 1818 Ext 838</w:t>
      </w:r>
    </w:p>
    <w:p w14:paraId="5FB01D9D" w14:textId="77777777" w:rsidR="00320C64" w:rsidRPr="000921FA" w:rsidRDefault="00320C64" w:rsidP="00320C6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2"/>
          <w:szCs w:val="22"/>
          <w:lang w:val="pt-PT"/>
        </w:rPr>
      </w:pPr>
      <w:r w:rsidRPr="000921FA">
        <w:rPr>
          <w:rFonts w:ascii="Times New Roman" w:hAnsi="Times New Roman"/>
          <w:spacing w:val="-3"/>
          <w:sz w:val="22"/>
          <w:szCs w:val="22"/>
          <w:lang w:val="pt-PT"/>
        </w:rPr>
        <w:t>Fax: +221 338241745</w:t>
      </w:r>
    </w:p>
    <w:p w14:paraId="026CF9EA" w14:textId="31FFBE54" w:rsidR="00320C64" w:rsidRPr="000921FA" w:rsidRDefault="00320C64" w:rsidP="00320C64">
      <w:pPr>
        <w:tabs>
          <w:tab w:val="left" w:pos="-720"/>
        </w:tabs>
        <w:suppressAutoHyphens/>
        <w:spacing w:line="360" w:lineRule="auto"/>
        <w:jc w:val="center"/>
        <w:rPr>
          <w:sz w:val="22"/>
          <w:szCs w:val="22"/>
          <w:lang w:val="fr-FR"/>
        </w:rPr>
      </w:pPr>
      <w:r w:rsidRPr="000921FA">
        <w:rPr>
          <w:rFonts w:ascii="Times New Roman" w:hAnsi="Times New Roman"/>
          <w:spacing w:val="-3"/>
          <w:sz w:val="22"/>
          <w:szCs w:val="22"/>
          <w:lang w:val="fr-FR"/>
        </w:rPr>
        <w:t xml:space="preserve">Email: </w:t>
      </w:r>
      <w:hyperlink r:id="rId11" w:history="1">
        <w:r w:rsidRPr="000921FA">
          <w:rPr>
            <w:rStyle w:val="Lienhypertexte"/>
            <w:rFonts w:ascii="Times New Roman" w:hAnsi="Times New Roman"/>
            <w:sz w:val="22"/>
            <w:szCs w:val="22"/>
            <w:lang w:val="fr-FR"/>
          </w:rPr>
          <w:t>secretariat@giaba.org</w:t>
        </w:r>
      </w:hyperlink>
      <w:r w:rsidRPr="000921FA">
        <w:rPr>
          <w:rFonts w:ascii="Times New Roman" w:hAnsi="Times New Roman"/>
          <w:spacing w:val="-3"/>
          <w:sz w:val="22"/>
          <w:szCs w:val="22"/>
          <w:lang w:val="fr-FR"/>
        </w:rPr>
        <w:t xml:space="preserve"> </w:t>
      </w:r>
      <w:r w:rsidR="000921FA" w:rsidRPr="000921FA">
        <w:rPr>
          <w:rFonts w:ascii="Times New Roman" w:hAnsi="Times New Roman"/>
          <w:spacing w:val="-3"/>
          <w:sz w:val="22"/>
          <w:szCs w:val="22"/>
          <w:lang w:val="fr-FR"/>
        </w:rPr>
        <w:t>ou</w:t>
      </w:r>
      <w:r w:rsidRPr="000921FA">
        <w:rPr>
          <w:rFonts w:ascii="Times New Roman" w:hAnsi="Times New Roman"/>
          <w:spacing w:val="-3"/>
          <w:sz w:val="22"/>
          <w:szCs w:val="22"/>
          <w:lang w:val="fr-FR"/>
        </w:rPr>
        <w:t xml:space="preserve"> </w:t>
      </w:r>
      <w:hyperlink r:id="rId12" w:history="1">
        <w:r w:rsidRPr="000921FA">
          <w:rPr>
            <w:rStyle w:val="Lienhypertexte"/>
            <w:rFonts w:ascii="Times New Roman" w:hAnsi="Times New Roman"/>
            <w:sz w:val="22"/>
            <w:szCs w:val="22"/>
            <w:lang w:val="fr-FR"/>
          </w:rPr>
          <w:t>procurement@giaba.org</w:t>
        </w:r>
      </w:hyperlink>
    </w:p>
    <w:p w14:paraId="5BADE32D" w14:textId="38F11E2C" w:rsidR="00D81947" w:rsidRPr="000921FA" w:rsidRDefault="00D81947" w:rsidP="00692381">
      <w:p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5EB5D996" w14:textId="77777777" w:rsidR="004C5A73" w:rsidRPr="000921FA" w:rsidRDefault="004C5A73" w:rsidP="0069238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39B49105" w14:textId="77777777" w:rsidR="005A58BB" w:rsidRPr="000921FA" w:rsidRDefault="005A58BB" w:rsidP="00692381">
      <w:pPr>
        <w:pStyle w:val="Paragraphedeliste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1F0695B7" w14:textId="09ED3B57" w:rsidR="00283C32" w:rsidRPr="000921FA" w:rsidRDefault="005A58BB" w:rsidP="00692381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0921FA">
        <w:rPr>
          <w:rFonts w:ascii="Times New Roman" w:hAnsi="Times New Roman" w:cs="Times New Roman"/>
          <w:lang w:val="pt-PT"/>
        </w:rPr>
        <w:t>*******</w:t>
      </w:r>
    </w:p>
    <w:sectPr w:rsidR="00283C32" w:rsidRPr="000921FA" w:rsidSect="00B3009F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7439" w14:textId="77777777" w:rsidR="00D5526A" w:rsidRDefault="00D5526A" w:rsidP="004C5A73">
      <w:r>
        <w:separator/>
      </w:r>
    </w:p>
  </w:endnote>
  <w:endnote w:type="continuationSeparator" w:id="0">
    <w:p w14:paraId="2F7DB710" w14:textId="77777777" w:rsidR="00D5526A" w:rsidRDefault="00D5526A" w:rsidP="004C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506365"/>
      <w:docPartObj>
        <w:docPartGallery w:val="Page Numbers (Bottom of Page)"/>
        <w:docPartUnique/>
      </w:docPartObj>
    </w:sdtPr>
    <w:sdtEndPr/>
    <w:sdtContent>
      <w:p w14:paraId="6633F75C" w14:textId="4EA7D04B" w:rsidR="004C4853" w:rsidRDefault="004C48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BDF240E" w14:textId="77777777" w:rsidR="004C4853" w:rsidRDefault="004C4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0CA4" w14:textId="77777777" w:rsidR="00D5526A" w:rsidRDefault="00D5526A" w:rsidP="004C5A73">
      <w:r>
        <w:separator/>
      </w:r>
    </w:p>
  </w:footnote>
  <w:footnote w:type="continuationSeparator" w:id="0">
    <w:p w14:paraId="5F118156" w14:textId="77777777" w:rsidR="00D5526A" w:rsidRDefault="00D5526A" w:rsidP="004C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05619"/>
      <w:docPartObj>
        <w:docPartGallery w:val="Page Numbers (Top of Page)"/>
        <w:docPartUnique/>
      </w:docPartObj>
    </w:sdtPr>
    <w:sdtEndPr/>
    <w:sdtContent>
      <w:p w14:paraId="6BC2ED82" w14:textId="1B3A8ADF" w:rsidR="004C4853" w:rsidRDefault="004C485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1214D0" w14:textId="77777777" w:rsidR="004C4853" w:rsidRDefault="004C48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0F2"/>
    <w:multiLevelType w:val="hybridMultilevel"/>
    <w:tmpl w:val="E04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6E2"/>
    <w:multiLevelType w:val="hybridMultilevel"/>
    <w:tmpl w:val="3D787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062EB"/>
    <w:multiLevelType w:val="hybridMultilevel"/>
    <w:tmpl w:val="9FB68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2A0"/>
    <w:multiLevelType w:val="hybridMultilevel"/>
    <w:tmpl w:val="F93C0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19C"/>
    <w:multiLevelType w:val="multilevel"/>
    <w:tmpl w:val="17B0619C"/>
    <w:lvl w:ilvl="0">
      <w:start w:val="1"/>
      <w:numFmt w:val="decimal"/>
      <w:pStyle w:val="Titre2"/>
      <w:lvlText w:val="%1"/>
      <w:lvlJc w:val="left"/>
      <w:pPr>
        <w:tabs>
          <w:tab w:val="left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pprag2-notoc"/>
      <w:lvlText w:val="%1.%2."/>
      <w:lvlJc w:val="left"/>
      <w:pPr>
        <w:tabs>
          <w:tab w:val="left" w:pos="170"/>
        </w:tabs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Heading4a"/>
      <w:lvlText w:val="%3."/>
      <w:lvlJc w:val="left"/>
      <w:pPr>
        <w:tabs>
          <w:tab w:val="left" w:pos="2534"/>
        </w:tabs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left" w:pos="2880"/>
        </w:tabs>
      </w:pPr>
      <w:rPr>
        <w:rFonts w:cs="Times New Roman" w:hint="default"/>
        <w:b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3284365F"/>
    <w:multiLevelType w:val="hybridMultilevel"/>
    <w:tmpl w:val="CFD83D52"/>
    <w:lvl w:ilvl="0" w:tplc="7AEE99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6735"/>
    <w:multiLevelType w:val="hybridMultilevel"/>
    <w:tmpl w:val="4D808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A31FB"/>
    <w:multiLevelType w:val="hybridMultilevel"/>
    <w:tmpl w:val="BCDE01B8"/>
    <w:lvl w:ilvl="0" w:tplc="512C8D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4292"/>
    <w:multiLevelType w:val="hybridMultilevel"/>
    <w:tmpl w:val="21200BE8"/>
    <w:lvl w:ilvl="0" w:tplc="EF5079B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E91870"/>
    <w:multiLevelType w:val="hybridMultilevel"/>
    <w:tmpl w:val="3630299E"/>
    <w:lvl w:ilvl="0" w:tplc="EF5079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2E4B"/>
    <w:multiLevelType w:val="hybridMultilevel"/>
    <w:tmpl w:val="7140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0E0E"/>
    <w:multiLevelType w:val="hybridMultilevel"/>
    <w:tmpl w:val="E78A3996"/>
    <w:lvl w:ilvl="0" w:tplc="EF5079B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3B4B17"/>
    <w:multiLevelType w:val="hybridMultilevel"/>
    <w:tmpl w:val="185E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748B"/>
    <w:multiLevelType w:val="hybridMultilevel"/>
    <w:tmpl w:val="AAFC38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44"/>
    <w:rsid w:val="00090C39"/>
    <w:rsid w:val="000921FA"/>
    <w:rsid w:val="0009678B"/>
    <w:rsid w:val="00096F68"/>
    <w:rsid w:val="000A1B59"/>
    <w:rsid w:val="000B5EFE"/>
    <w:rsid w:val="000E665F"/>
    <w:rsid w:val="000F2190"/>
    <w:rsid w:val="00141683"/>
    <w:rsid w:val="00176FF1"/>
    <w:rsid w:val="001B09F5"/>
    <w:rsid w:val="001C796F"/>
    <w:rsid w:val="001D04FD"/>
    <w:rsid w:val="001E2FBC"/>
    <w:rsid w:val="00202214"/>
    <w:rsid w:val="00205864"/>
    <w:rsid w:val="002405B9"/>
    <w:rsid w:val="0024346D"/>
    <w:rsid w:val="0025434B"/>
    <w:rsid w:val="00254823"/>
    <w:rsid w:val="00273F48"/>
    <w:rsid w:val="002762B0"/>
    <w:rsid w:val="00283C32"/>
    <w:rsid w:val="00285162"/>
    <w:rsid w:val="002A5352"/>
    <w:rsid w:val="002B109B"/>
    <w:rsid w:val="002B1674"/>
    <w:rsid w:val="002D2182"/>
    <w:rsid w:val="002F4780"/>
    <w:rsid w:val="00320C64"/>
    <w:rsid w:val="00320ED5"/>
    <w:rsid w:val="0035397F"/>
    <w:rsid w:val="00366D3D"/>
    <w:rsid w:val="0038524D"/>
    <w:rsid w:val="0039214F"/>
    <w:rsid w:val="003B3302"/>
    <w:rsid w:val="003B4973"/>
    <w:rsid w:val="003C2413"/>
    <w:rsid w:val="003D4175"/>
    <w:rsid w:val="003D4F7B"/>
    <w:rsid w:val="00416C31"/>
    <w:rsid w:val="00426D8E"/>
    <w:rsid w:val="00457134"/>
    <w:rsid w:val="004669D3"/>
    <w:rsid w:val="00497727"/>
    <w:rsid w:val="004A0CA6"/>
    <w:rsid w:val="004B21FE"/>
    <w:rsid w:val="004C4853"/>
    <w:rsid w:val="004C5A73"/>
    <w:rsid w:val="004D468C"/>
    <w:rsid w:val="004D6AE1"/>
    <w:rsid w:val="004F692D"/>
    <w:rsid w:val="004F7977"/>
    <w:rsid w:val="005174BF"/>
    <w:rsid w:val="00544E92"/>
    <w:rsid w:val="0057419E"/>
    <w:rsid w:val="005A55BF"/>
    <w:rsid w:val="005A58BB"/>
    <w:rsid w:val="00612C18"/>
    <w:rsid w:val="006371D4"/>
    <w:rsid w:val="006740FB"/>
    <w:rsid w:val="00675A76"/>
    <w:rsid w:val="00683DB4"/>
    <w:rsid w:val="00692381"/>
    <w:rsid w:val="006B74D9"/>
    <w:rsid w:val="006C1E31"/>
    <w:rsid w:val="00703FF6"/>
    <w:rsid w:val="00721F7D"/>
    <w:rsid w:val="00745DE7"/>
    <w:rsid w:val="007603C6"/>
    <w:rsid w:val="007A5294"/>
    <w:rsid w:val="007B100E"/>
    <w:rsid w:val="007B546F"/>
    <w:rsid w:val="007B6DBA"/>
    <w:rsid w:val="007C0663"/>
    <w:rsid w:val="007E3F53"/>
    <w:rsid w:val="00807B4A"/>
    <w:rsid w:val="0082500F"/>
    <w:rsid w:val="00826E3A"/>
    <w:rsid w:val="00872C14"/>
    <w:rsid w:val="0088153E"/>
    <w:rsid w:val="008E333B"/>
    <w:rsid w:val="00916B14"/>
    <w:rsid w:val="00962704"/>
    <w:rsid w:val="00971FC8"/>
    <w:rsid w:val="00973029"/>
    <w:rsid w:val="00975F3E"/>
    <w:rsid w:val="0098036D"/>
    <w:rsid w:val="00983D0D"/>
    <w:rsid w:val="00985604"/>
    <w:rsid w:val="009919FC"/>
    <w:rsid w:val="009A03F3"/>
    <w:rsid w:val="009A2D51"/>
    <w:rsid w:val="009A3A08"/>
    <w:rsid w:val="009B0CF1"/>
    <w:rsid w:val="009E0B43"/>
    <w:rsid w:val="00A17A0F"/>
    <w:rsid w:val="00A7577E"/>
    <w:rsid w:val="00A86C5D"/>
    <w:rsid w:val="00AA5A27"/>
    <w:rsid w:val="00AB1F13"/>
    <w:rsid w:val="00AE2424"/>
    <w:rsid w:val="00B3009F"/>
    <w:rsid w:val="00B84E44"/>
    <w:rsid w:val="00B933BD"/>
    <w:rsid w:val="00BB0FAB"/>
    <w:rsid w:val="00BC190C"/>
    <w:rsid w:val="00BE1AC7"/>
    <w:rsid w:val="00BF13D0"/>
    <w:rsid w:val="00C00F9E"/>
    <w:rsid w:val="00C40277"/>
    <w:rsid w:val="00C4413E"/>
    <w:rsid w:val="00C75403"/>
    <w:rsid w:val="00C955B7"/>
    <w:rsid w:val="00CA1AB4"/>
    <w:rsid w:val="00CF1389"/>
    <w:rsid w:val="00CF6027"/>
    <w:rsid w:val="00D30B19"/>
    <w:rsid w:val="00D5526A"/>
    <w:rsid w:val="00D631FB"/>
    <w:rsid w:val="00D6354F"/>
    <w:rsid w:val="00D65260"/>
    <w:rsid w:val="00D81947"/>
    <w:rsid w:val="00DD693B"/>
    <w:rsid w:val="00E01BD3"/>
    <w:rsid w:val="00E11F5D"/>
    <w:rsid w:val="00E42946"/>
    <w:rsid w:val="00E84960"/>
    <w:rsid w:val="00EA204B"/>
    <w:rsid w:val="00EA53CD"/>
    <w:rsid w:val="00EB4037"/>
    <w:rsid w:val="00EC5A47"/>
    <w:rsid w:val="00EC7CC2"/>
    <w:rsid w:val="00F250F6"/>
    <w:rsid w:val="00F46580"/>
    <w:rsid w:val="00F74EF7"/>
    <w:rsid w:val="00FA3B4A"/>
    <w:rsid w:val="00FB3736"/>
    <w:rsid w:val="00FB594C"/>
    <w:rsid w:val="00FF5698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32D3"/>
  <w15:chartTrackingRefBased/>
  <w15:docId w15:val="{B9FEAB73-F938-6841-B2D3-CAA0240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A86C5D"/>
    <w:pPr>
      <w:numPr>
        <w:numId w:val="10"/>
      </w:numPr>
      <w:spacing w:before="120" w:line="276" w:lineRule="auto"/>
      <w:outlineLvl w:val="1"/>
    </w:pPr>
    <w:rPr>
      <w:rFonts w:ascii="Times New Roman" w:eastAsia="Times New Roman" w:hAnsi="Times New Roman" w:cs="Times New Roman"/>
      <w:b/>
      <w:spacing w:val="20"/>
      <w:sz w:val="28"/>
      <w:szCs w:val="20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6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6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4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qFormat/>
    <w:rsid w:val="004C5A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4C5A73"/>
    <w:rPr>
      <w:sz w:val="20"/>
      <w:szCs w:val="20"/>
    </w:rPr>
  </w:style>
  <w:style w:type="character" w:styleId="Appelnotedebasdep">
    <w:name w:val="footnote reference"/>
    <w:basedOn w:val="Policepardfaut"/>
    <w:link w:val="Char2"/>
    <w:uiPriority w:val="99"/>
    <w:unhideWhenUsed/>
    <w:qFormat/>
    <w:rsid w:val="004C5A73"/>
    <w:rPr>
      <w:vertAlign w:val="superscript"/>
    </w:rPr>
  </w:style>
  <w:style w:type="table" w:styleId="Grilledutableau">
    <w:name w:val="Table Grid"/>
    <w:basedOn w:val="TableauNormal"/>
    <w:uiPriority w:val="39"/>
    <w:rsid w:val="0027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Appelnotedebasdep"/>
    <w:uiPriority w:val="99"/>
    <w:qFormat/>
    <w:rsid w:val="00320ED5"/>
    <w:pPr>
      <w:spacing w:after="160" w:line="240" w:lineRule="exact"/>
    </w:pPr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652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26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86C5D"/>
    <w:rPr>
      <w:rFonts w:ascii="Times New Roman" w:eastAsia="Times New Roman" w:hAnsi="Times New Roman" w:cs="Times New Roman"/>
      <w:b/>
      <w:spacing w:val="20"/>
      <w:sz w:val="28"/>
      <w:szCs w:val="20"/>
      <w:lang w:val="fr-FR"/>
    </w:rPr>
  </w:style>
  <w:style w:type="paragraph" w:customStyle="1" w:styleId="pprag2-notoc">
    <w:name w:val="pprag2 - no toc"/>
    <w:basedOn w:val="Titre3"/>
    <w:qFormat/>
    <w:rsid w:val="00A86C5D"/>
    <w:pPr>
      <w:keepLines w:val="0"/>
      <w:numPr>
        <w:ilvl w:val="1"/>
        <w:numId w:val="10"/>
      </w:numPr>
      <w:tabs>
        <w:tab w:val="clear" w:pos="170"/>
        <w:tab w:val="left" w:pos="1440"/>
      </w:tabs>
      <w:spacing w:before="0" w:after="60" w:line="360" w:lineRule="auto"/>
      <w:ind w:left="1440" w:hanging="360"/>
    </w:pPr>
    <w:rPr>
      <w:rFonts w:ascii="Times New Roman" w:eastAsia="Times New Roman" w:hAnsi="Times New Roman" w:cs="Times New Roman"/>
      <w:b/>
      <w:bCs/>
      <w:color w:val="auto"/>
      <w:szCs w:val="26"/>
      <w:lang w:eastAsia="en-GB"/>
    </w:rPr>
  </w:style>
  <w:style w:type="paragraph" w:customStyle="1" w:styleId="Heading4a">
    <w:name w:val="Heading 4a"/>
    <w:basedOn w:val="Titre4"/>
    <w:link w:val="Heading4aChar"/>
    <w:qFormat/>
    <w:rsid w:val="00A86C5D"/>
    <w:pPr>
      <w:keepLines w:val="0"/>
      <w:numPr>
        <w:ilvl w:val="2"/>
        <w:numId w:val="10"/>
      </w:numPr>
      <w:spacing w:before="0" w:after="60" w:line="360" w:lineRule="auto"/>
      <w:jc w:val="both"/>
    </w:pPr>
    <w:rPr>
      <w:rFonts w:ascii="Times New Roman" w:eastAsia="Times New Roman" w:hAnsi="Times New Roman" w:cs="Times New Roman"/>
      <w:b/>
      <w:i w:val="0"/>
      <w:iCs w:val="0"/>
      <w:color w:val="auto"/>
      <w:szCs w:val="26"/>
      <w:lang w:eastAsia="en-GB"/>
    </w:rPr>
  </w:style>
  <w:style w:type="character" w:customStyle="1" w:styleId="Heading4aChar">
    <w:name w:val="Heading 4a Char"/>
    <w:basedOn w:val="Policepardfaut"/>
    <w:link w:val="Heading4a"/>
    <w:locked/>
    <w:rsid w:val="00A86C5D"/>
    <w:rPr>
      <w:rFonts w:ascii="Times New Roman" w:eastAsia="Times New Roman" w:hAnsi="Times New Roman" w:cs="Times New Roman"/>
      <w:b/>
      <w:szCs w:val="26"/>
      <w:lang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A86C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A86C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traitcorpsdetexte">
    <w:name w:val="Body Text Indent"/>
    <w:basedOn w:val="Normal"/>
    <w:link w:val="RetraitcorpsdetexteCar"/>
    <w:rsid w:val="00320C64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jc w:val="both"/>
    </w:pPr>
    <w:rPr>
      <w:rFonts w:ascii="CG Times" w:eastAsia="Times New Roman" w:hAnsi="CG Times" w:cs="Times New Roman"/>
      <w:spacing w:val="-3"/>
      <w:sz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320C64"/>
    <w:rPr>
      <w:rFonts w:ascii="CG Times" w:eastAsia="Times New Roman" w:hAnsi="CG Times" w:cs="Times New Roman"/>
      <w:spacing w:val="-3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C485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C4853"/>
  </w:style>
  <w:style w:type="paragraph" w:styleId="Pieddepage">
    <w:name w:val="footer"/>
    <w:basedOn w:val="Normal"/>
    <w:link w:val="PieddepageCar"/>
    <w:uiPriority w:val="99"/>
    <w:unhideWhenUsed/>
    <w:rsid w:val="004C485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giab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giab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8858B-07C0-5D4D-8670-967573E7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6061</Characters>
  <Application>Microsoft Office Word</Application>
  <DocSecurity>0</DocSecurity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klein</dc:creator>
  <cp:keywords/>
  <dc:description/>
  <cp:lastModifiedBy>Idrissa Ouattara</cp:lastModifiedBy>
  <cp:revision>3</cp:revision>
  <dcterms:created xsi:type="dcterms:W3CDTF">2021-08-11T22:50:00Z</dcterms:created>
  <dcterms:modified xsi:type="dcterms:W3CDTF">2021-09-01T18:09:00Z</dcterms:modified>
</cp:coreProperties>
</file>