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5174"/>
        <w:gridCol w:w="2070"/>
      </w:tblGrid>
      <w:tr w:rsidR="00273F48" w:rsidRPr="005A58BB" w14:paraId="1DF4449E" w14:textId="77777777" w:rsidTr="00273F48">
        <w:tc>
          <w:tcPr>
            <w:tcW w:w="2116" w:type="dxa"/>
          </w:tcPr>
          <w:p w14:paraId="2FCFB46C" w14:textId="07723828" w:rsidR="00273F48" w:rsidRPr="005A58BB" w:rsidRDefault="00273F48" w:rsidP="005A58BB">
            <w:pPr>
              <w:spacing w:line="360" w:lineRule="auto"/>
              <w:jc w:val="center"/>
              <w:rPr>
                <w:rFonts w:ascii="Times New Roman" w:hAnsi="Times New Roman" w:cs="Times New Roman"/>
                <w:b/>
                <w:bCs/>
              </w:rPr>
            </w:pPr>
            <w:r w:rsidRPr="005A58BB">
              <w:rPr>
                <w:rFonts w:ascii="Times New Roman" w:hAnsi="Times New Roman" w:cs="Times New Roman"/>
                <w:noProof/>
              </w:rPr>
              <w:drawing>
                <wp:inline distT="0" distB="0" distL="0" distR="0" wp14:anchorId="087C5CD0" wp14:editId="664A7806">
                  <wp:extent cx="1206500" cy="804289"/>
                  <wp:effectExtent l="0" t="0" r="0" b="0"/>
                  <wp:docPr id="4" name="Picture 4" descr="132 European Union Symbol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2 European Union Symbol Illustrations &amp;amp; Clip Ar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407" cy="832225"/>
                          </a:xfrm>
                          <a:prstGeom prst="rect">
                            <a:avLst/>
                          </a:prstGeom>
                          <a:noFill/>
                          <a:ln>
                            <a:noFill/>
                          </a:ln>
                        </pic:spPr>
                      </pic:pic>
                    </a:graphicData>
                  </a:graphic>
                </wp:inline>
              </w:drawing>
            </w:r>
          </w:p>
        </w:tc>
        <w:tc>
          <w:tcPr>
            <w:tcW w:w="5174" w:type="dxa"/>
          </w:tcPr>
          <w:p w14:paraId="4E4965A8" w14:textId="6374302B" w:rsidR="00273F48" w:rsidRPr="005A58BB" w:rsidRDefault="00273F48" w:rsidP="005A58BB">
            <w:pPr>
              <w:spacing w:line="360" w:lineRule="auto"/>
              <w:jc w:val="center"/>
              <w:rPr>
                <w:rFonts w:ascii="Times New Roman" w:hAnsi="Times New Roman" w:cs="Times New Roman"/>
                <w:b/>
                <w:bCs/>
              </w:rPr>
            </w:pPr>
            <w:r w:rsidRPr="005A58BB">
              <w:rPr>
                <w:rFonts w:ascii="Times New Roman" w:hAnsi="Times New Roman" w:cs="Times New Roman"/>
                <w:b/>
                <w:bCs/>
                <w:noProof/>
              </w:rPr>
              <w:drawing>
                <wp:inline distT="0" distB="0" distL="0" distR="0" wp14:anchorId="341376C5" wp14:editId="7332B51A">
                  <wp:extent cx="846666" cy="846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017" cy="851017"/>
                          </a:xfrm>
                          <a:prstGeom prst="rect">
                            <a:avLst/>
                          </a:prstGeom>
                          <a:noFill/>
                          <a:ln>
                            <a:noFill/>
                          </a:ln>
                        </pic:spPr>
                      </pic:pic>
                    </a:graphicData>
                  </a:graphic>
                </wp:inline>
              </w:drawing>
            </w:r>
          </w:p>
        </w:tc>
        <w:tc>
          <w:tcPr>
            <w:tcW w:w="2070" w:type="dxa"/>
          </w:tcPr>
          <w:p w14:paraId="70CDB060" w14:textId="2E4CF270" w:rsidR="00273F48" w:rsidRPr="005A58BB" w:rsidRDefault="00273F48" w:rsidP="005A58BB">
            <w:pPr>
              <w:spacing w:line="360" w:lineRule="auto"/>
              <w:jc w:val="center"/>
              <w:rPr>
                <w:rFonts w:ascii="Times New Roman" w:hAnsi="Times New Roman" w:cs="Times New Roman"/>
                <w:b/>
                <w:bCs/>
              </w:rPr>
            </w:pPr>
            <w:r w:rsidRPr="005A58BB">
              <w:rPr>
                <w:rFonts w:ascii="Times New Roman" w:hAnsi="Times New Roman" w:cs="Times New Roman"/>
                <w:b/>
                <w:bCs/>
                <w:noProof/>
              </w:rPr>
              <w:drawing>
                <wp:inline distT="0" distB="0" distL="0" distR="0" wp14:anchorId="58FD760C" wp14:editId="0EA68F84">
                  <wp:extent cx="682752" cy="810768"/>
                  <wp:effectExtent l="0" t="0" r="3175"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2752" cy="810768"/>
                          </a:xfrm>
                          <a:prstGeom prst="rect">
                            <a:avLst/>
                          </a:prstGeom>
                        </pic:spPr>
                      </pic:pic>
                    </a:graphicData>
                  </a:graphic>
                </wp:inline>
              </w:drawing>
            </w:r>
          </w:p>
        </w:tc>
      </w:tr>
    </w:tbl>
    <w:p w14:paraId="084E91BC" w14:textId="046195BB" w:rsidR="00273F48" w:rsidRPr="005A58BB" w:rsidRDefault="00273F48" w:rsidP="005A58BB">
      <w:pPr>
        <w:spacing w:line="360" w:lineRule="auto"/>
        <w:jc w:val="center"/>
        <w:rPr>
          <w:rFonts w:ascii="Times New Roman" w:hAnsi="Times New Roman" w:cs="Times New Roman"/>
          <w:b/>
          <w:bCs/>
        </w:rPr>
      </w:pPr>
    </w:p>
    <w:p w14:paraId="71ACEBE3" w14:textId="31891E85" w:rsidR="00B57F71" w:rsidRPr="000B574F" w:rsidRDefault="00271385">
      <w:pPr>
        <w:spacing w:line="276" w:lineRule="auto"/>
        <w:jc w:val="center"/>
        <w:rPr>
          <w:rFonts w:ascii="Times New Roman" w:hAnsi="Times New Roman" w:cs="Times New Roman"/>
          <w:b/>
          <w:bCs/>
          <w:lang w:val="fr-FR"/>
        </w:rPr>
      </w:pPr>
      <w:r w:rsidRPr="000B574F">
        <w:rPr>
          <w:rFonts w:ascii="Times New Roman" w:hAnsi="Times New Roman"/>
          <w:b/>
          <w:bCs/>
          <w:u w:val="single"/>
          <w:lang w:val="fr-FR"/>
        </w:rPr>
        <w:t xml:space="preserve">DEMANDE DE MANIFESTATION D'INTÉRÊT POUR LA </w:t>
      </w:r>
      <w:bookmarkStart w:id="0" w:name="_Hlk77184586"/>
      <w:r w:rsidRPr="000B574F">
        <w:rPr>
          <w:rFonts w:ascii="Times New Roman" w:hAnsi="Times New Roman"/>
          <w:b/>
          <w:bCs/>
          <w:u w:val="single"/>
          <w:lang w:val="fr-FR"/>
        </w:rPr>
        <w:t>RÉALISATION D'</w:t>
      </w:r>
      <w:r w:rsidR="00E42946" w:rsidRPr="000B574F">
        <w:rPr>
          <w:rFonts w:ascii="Times New Roman" w:hAnsi="Times New Roman"/>
          <w:b/>
          <w:bCs/>
          <w:u w:val="single"/>
          <w:lang w:val="fr-FR"/>
        </w:rPr>
        <w:t xml:space="preserve">UNE </w:t>
      </w:r>
      <w:r w:rsidR="00983D0D" w:rsidRPr="000B574F">
        <w:rPr>
          <w:rFonts w:ascii="Times New Roman" w:hAnsi="Times New Roman"/>
          <w:b/>
          <w:bCs/>
          <w:u w:val="single"/>
          <w:lang w:val="fr-FR"/>
        </w:rPr>
        <w:t>É</w:t>
      </w:r>
      <w:r w:rsidR="000B574F" w:rsidRPr="000B574F">
        <w:rPr>
          <w:rFonts w:ascii="Times New Roman" w:hAnsi="Times New Roman"/>
          <w:b/>
          <w:bCs/>
          <w:u w:val="single"/>
          <w:lang w:val="fr-FR"/>
        </w:rPr>
        <w:t>TU</w:t>
      </w:r>
      <w:r w:rsidR="000B574F">
        <w:rPr>
          <w:rFonts w:ascii="Times New Roman" w:hAnsi="Times New Roman"/>
          <w:b/>
          <w:bCs/>
          <w:u w:val="single"/>
          <w:lang w:val="fr-FR"/>
        </w:rPr>
        <w:t>DE SUR LE</w:t>
      </w:r>
      <w:r w:rsidR="00983D0D" w:rsidRPr="000B574F">
        <w:rPr>
          <w:rFonts w:ascii="Times New Roman" w:hAnsi="Times New Roman"/>
          <w:b/>
          <w:bCs/>
          <w:u w:val="single"/>
          <w:lang w:val="fr-FR"/>
        </w:rPr>
        <w:t xml:space="preserve"> BLANCHIMENT D</w:t>
      </w:r>
      <w:r w:rsidR="000B574F">
        <w:rPr>
          <w:rFonts w:ascii="Times New Roman" w:hAnsi="Times New Roman"/>
          <w:b/>
          <w:bCs/>
          <w:u w:val="single"/>
          <w:lang w:val="fr-FR"/>
        </w:rPr>
        <w:t>E CAPITAUX</w:t>
      </w:r>
      <w:r w:rsidR="00983D0D" w:rsidRPr="000B574F">
        <w:rPr>
          <w:rFonts w:ascii="Times New Roman" w:hAnsi="Times New Roman"/>
          <w:b/>
          <w:bCs/>
          <w:u w:val="single"/>
          <w:lang w:val="fr-FR"/>
        </w:rPr>
        <w:t xml:space="preserve">, FINANCEMENT DU TERRORISME ET </w:t>
      </w:r>
      <w:r w:rsidR="00210B26">
        <w:rPr>
          <w:rFonts w:ascii="Times New Roman" w:hAnsi="Times New Roman"/>
          <w:b/>
          <w:bCs/>
          <w:u w:val="single"/>
          <w:lang w:val="fr-FR"/>
        </w:rPr>
        <w:t>L</w:t>
      </w:r>
      <w:r w:rsidR="00983D0D" w:rsidRPr="000B574F">
        <w:rPr>
          <w:rFonts w:ascii="Times New Roman" w:hAnsi="Times New Roman"/>
          <w:b/>
          <w:bCs/>
          <w:u w:val="single"/>
          <w:lang w:val="fr-FR"/>
        </w:rPr>
        <w:t>ES FLUX FINANCIERS ILLICITES LIÉS À LA CRIMINALITÉ MARITIME DANS LE GOLFE DE GUINÉE</w:t>
      </w:r>
    </w:p>
    <w:bookmarkEnd w:id="0"/>
    <w:p w14:paraId="3C01BF28" w14:textId="77777777" w:rsidR="00983D0D" w:rsidRPr="000B574F" w:rsidRDefault="00983D0D" w:rsidP="00692381">
      <w:pPr>
        <w:spacing w:line="360" w:lineRule="auto"/>
        <w:jc w:val="both"/>
        <w:rPr>
          <w:rFonts w:ascii="Times New Roman" w:hAnsi="Times New Roman" w:cs="Times New Roman"/>
          <w:b/>
          <w:bCs/>
          <w:lang w:val="fr-FR"/>
        </w:rPr>
      </w:pPr>
    </w:p>
    <w:p w14:paraId="11E266AB" w14:textId="77777777" w:rsidR="00B57F71" w:rsidRDefault="00271385">
      <w:pPr>
        <w:spacing w:line="360" w:lineRule="auto"/>
        <w:jc w:val="both"/>
        <w:rPr>
          <w:rFonts w:ascii="Times New Roman" w:hAnsi="Times New Roman" w:cs="Times New Roman"/>
          <w:b/>
          <w:bCs/>
        </w:rPr>
      </w:pPr>
      <w:r w:rsidRPr="00692381">
        <w:rPr>
          <w:rFonts w:ascii="Times New Roman" w:hAnsi="Times New Roman" w:cs="Times New Roman"/>
          <w:b/>
          <w:bCs/>
        </w:rPr>
        <w:t>CONTEXTE</w:t>
      </w:r>
    </w:p>
    <w:p w14:paraId="4B582880" w14:textId="77777777" w:rsidR="00D65260" w:rsidRDefault="00D65260" w:rsidP="00D65260">
      <w:pPr>
        <w:pStyle w:val="Paragraphedeliste"/>
        <w:jc w:val="both"/>
        <w:rPr>
          <w:rFonts w:ascii="Times New Roman" w:hAnsi="Times New Roman" w:cs="Times New Roman"/>
          <w:color w:val="000000" w:themeColor="text1"/>
        </w:rPr>
      </w:pPr>
    </w:p>
    <w:p w14:paraId="7AA88BD3" w14:textId="77777777" w:rsidR="009924DF" w:rsidRPr="00E84035" w:rsidRDefault="009924DF" w:rsidP="009924DF">
      <w:pPr>
        <w:pStyle w:val="Paragraphedeliste"/>
        <w:numPr>
          <w:ilvl w:val="0"/>
          <w:numId w:val="4"/>
        </w:numPr>
        <w:jc w:val="both"/>
        <w:rPr>
          <w:rFonts w:ascii="Times New Roman" w:hAnsi="Times New Roman" w:cs="Times New Roman"/>
          <w:b/>
          <w:bCs/>
          <w:lang w:val="fr-FR"/>
        </w:rPr>
      </w:pPr>
      <w:r w:rsidRPr="00E84035">
        <w:rPr>
          <w:rFonts w:ascii="Times New Roman" w:hAnsi="Times New Roman" w:cs="Times New Roman"/>
          <w:color w:val="000000" w:themeColor="text1"/>
          <w:lang w:val="fr-FR"/>
        </w:rPr>
        <w:t xml:space="preserve">Le golfe de Guinée au sens large, qui s'étend du Cap-Vert à l'Angola, est un </w:t>
      </w:r>
      <w:r>
        <w:rPr>
          <w:rFonts w:ascii="Times New Roman" w:hAnsi="Times New Roman" w:cs="Times New Roman"/>
          <w:color w:val="000000" w:themeColor="text1"/>
          <w:lang w:val="fr-FR"/>
        </w:rPr>
        <w:t>hub</w:t>
      </w:r>
      <w:r w:rsidRPr="00E84035">
        <w:rPr>
          <w:rFonts w:ascii="Times New Roman" w:hAnsi="Times New Roman" w:cs="Times New Roman"/>
          <w:color w:val="000000" w:themeColor="text1"/>
          <w:lang w:val="fr-FR"/>
        </w:rPr>
        <w:t xml:space="preserve"> de transit majeur et un fac</w:t>
      </w:r>
      <w:r>
        <w:rPr>
          <w:rFonts w:ascii="Times New Roman" w:hAnsi="Times New Roman" w:cs="Times New Roman"/>
          <w:color w:val="000000" w:themeColor="text1"/>
          <w:lang w:val="fr-FR"/>
        </w:rPr>
        <w:t xml:space="preserve">teur d’accélération </w:t>
      </w:r>
      <w:r w:rsidRPr="00E84035">
        <w:rPr>
          <w:rFonts w:ascii="Times New Roman" w:hAnsi="Times New Roman" w:cs="Times New Roman"/>
          <w:color w:val="000000" w:themeColor="text1"/>
          <w:lang w:val="fr-FR"/>
        </w:rPr>
        <w:t xml:space="preserve">de la croissance économique de la région, qui s'est établie à 7 % en moyenne depuis 2012. Le golfe de Guinée est également devenu une plaque tournante de l'approvisionnement énergétique mondial, des quantités importantes de tous les produits pétroliers consommés en Europe, en Amérique du Nord et en Asie transitant par cette voie navigable. </w:t>
      </w:r>
      <w:r w:rsidRPr="00E84035">
        <w:rPr>
          <w:rFonts w:ascii="Times New Roman" w:hAnsi="Times New Roman" w:cs="Times New Roman"/>
          <w:b/>
          <w:bCs/>
          <w:color w:val="000000" w:themeColor="text1"/>
          <w:lang w:val="fr-FR"/>
        </w:rPr>
        <w:t xml:space="preserve">Cet essor économique s'est toutefois accompagné de graves menaces sécuritaires, notamment dans l'espace maritime du golfe de Guinée. </w:t>
      </w:r>
    </w:p>
    <w:p w14:paraId="2F0908BA" w14:textId="77777777" w:rsidR="009924DF" w:rsidRPr="00E84035" w:rsidRDefault="009924DF" w:rsidP="009924DF">
      <w:pPr>
        <w:jc w:val="both"/>
        <w:rPr>
          <w:rFonts w:ascii="Times New Roman" w:hAnsi="Times New Roman" w:cs="Times New Roman"/>
          <w:lang w:val="fr-FR"/>
        </w:rPr>
      </w:pPr>
    </w:p>
    <w:p w14:paraId="08A090C7" w14:textId="77777777" w:rsidR="009924DF" w:rsidRPr="00197DD8" w:rsidRDefault="009924DF" w:rsidP="009924DF">
      <w:pPr>
        <w:pStyle w:val="Paragraphedeliste"/>
        <w:numPr>
          <w:ilvl w:val="0"/>
          <w:numId w:val="4"/>
        </w:numPr>
        <w:jc w:val="both"/>
        <w:rPr>
          <w:rFonts w:ascii="Times New Roman" w:hAnsi="Times New Roman" w:cs="Times New Roman"/>
          <w:b/>
          <w:bCs/>
          <w:color w:val="000000" w:themeColor="text1"/>
          <w:lang w:val="fr-FR"/>
        </w:rPr>
      </w:pPr>
      <w:r w:rsidRPr="00E84035">
        <w:rPr>
          <w:rFonts w:ascii="Times New Roman" w:hAnsi="Times New Roman" w:cs="Times New Roman"/>
          <w:lang w:val="fr-FR"/>
        </w:rPr>
        <w:t xml:space="preserve">Le nombre d'attaques contre les navires dans le golfe de Guinée est alarmant, le Bureau maritime international (BMI) faisant état d'un total de 82 incidents de piraterie et de 130 enlèvements de marins, ce qui est de loin le plus important au monde. Si la tendance s'est légèrement atténuée en 2021, la région reste </w:t>
      </w:r>
      <w:r w:rsidRPr="00E84035">
        <w:rPr>
          <w:rFonts w:ascii="Times New Roman" w:hAnsi="Times New Roman" w:cs="Times New Roman"/>
          <w:color w:val="000000" w:themeColor="text1"/>
          <w:lang w:val="fr-FR"/>
        </w:rPr>
        <w:t xml:space="preserve">dangereuse, puisqu'elle compte "les 50 membres d'équipage enlevés et le seul décès d'équipage enregistré par l'IMB" en 2021. </w:t>
      </w:r>
      <w:r w:rsidRPr="00197DD8">
        <w:rPr>
          <w:rFonts w:ascii="Times New Roman" w:hAnsi="Times New Roman" w:cs="Times New Roman"/>
          <w:b/>
          <w:bCs/>
          <w:color w:val="000000" w:themeColor="text1"/>
          <w:lang w:val="fr-FR"/>
        </w:rPr>
        <w:t xml:space="preserve">On suppose qu'une bonne partie des vols de navires sont opportunistes, en particulier dans les grandes zones portuaires comme Lagos au Nigeria. </w:t>
      </w:r>
    </w:p>
    <w:p w14:paraId="669F331E" w14:textId="77777777" w:rsidR="00320ED5" w:rsidRPr="000B574F" w:rsidRDefault="00320ED5" w:rsidP="00320ED5">
      <w:pPr>
        <w:jc w:val="both"/>
        <w:rPr>
          <w:rFonts w:ascii="Times New Roman" w:eastAsia="Calibri" w:hAnsi="Times New Roman" w:cs="Times New Roman"/>
          <w:lang w:val="fr-FR"/>
        </w:rPr>
      </w:pPr>
    </w:p>
    <w:p w14:paraId="652CBCA5" w14:textId="77777777" w:rsidR="005F4B62" w:rsidRPr="005F4B62" w:rsidRDefault="005F4B62" w:rsidP="005F4B62">
      <w:pPr>
        <w:pStyle w:val="Paragraphedeliste"/>
        <w:numPr>
          <w:ilvl w:val="0"/>
          <w:numId w:val="4"/>
        </w:numPr>
        <w:jc w:val="both"/>
        <w:rPr>
          <w:rFonts w:ascii="Times New Roman" w:hAnsi="Times New Roman" w:cs="Times New Roman"/>
          <w:b/>
          <w:bCs/>
          <w:color w:val="000000" w:themeColor="text1"/>
          <w:lang w:val="fr-FR"/>
        </w:rPr>
      </w:pPr>
      <w:r w:rsidRPr="00E84035">
        <w:rPr>
          <w:rFonts w:ascii="Times New Roman" w:hAnsi="Times New Roman" w:cs="Times New Roman"/>
          <w:color w:val="000000" w:themeColor="text1"/>
          <w:lang w:val="fr-FR"/>
        </w:rPr>
        <w:t>Différents acteurs peuvent être impliqués, notamment des groupes criminels organisés, des fonctionnaires et agents de sécurité</w:t>
      </w:r>
      <w:r>
        <w:rPr>
          <w:rFonts w:ascii="Times New Roman" w:hAnsi="Times New Roman" w:cs="Times New Roman"/>
          <w:color w:val="000000" w:themeColor="text1"/>
          <w:lang w:val="fr-FR"/>
        </w:rPr>
        <w:t xml:space="preserve"> corrompus</w:t>
      </w:r>
      <w:r w:rsidRPr="00E84035">
        <w:rPr>
          <w:rFonts w:ascii="Times New Roman" w:hAnsi="Times New Roman" w:cs="Times New Roman"/>
          <w:color w:val="000000" w:themeColor="text1"/>
          <w:lang w:val="fr-FR"/>
        </w:rPr>
        <w:t xml:space="preserve">, ainsi que des groupes militants régionaux tels que les Vengeurs du delta du Niger, qui travaillent parfois en collusion. Une grande partie du pétrole volé qui est traité dans des raffineries modulaires ("de brousse") est ensuite vendu directement aux grossistes, aux stations-service ou au bord de la route. Bien que les produits pétroliers nigérians illicites soient largement vendus aux automobilistes au Bénin, au Togo et au Nigeria même, </w:t>
      </w:r>
      <w:r w:rsidRPr="005F4B62">
        <w:rPr>
          <w:rFonts w:ascii="Times New Roman" w:hAnsi="Times New Roman" w:cs="Times New Roman"/>
          <w:b/>
          <w:bCs/>
          <w:color w:val="000000" w:themeColor="text1"/>
          <w:lang w:val="fr-FR"/>
        </w:rPr>
        <w:t xml:space="preserve">on sait peu de choses sur les circuits financiers qui sous-tendent ce commerce et sur ses liens avec la criminalité maritime plus large dans le Golfe. </w:t>
      </w:r>
    </w:p>
    <w:p w14:paraId="0AD11F06" w14:textId="77777777" w:rsidR="00320ED5" w:rsidRPr="000B574F" w:rsidRDefault="00320ED5" w:rsidP="00320ED5">
      <w:pPr>
        <w:jc w:val="both"/>
        <w:rPr>
          <w:rFonts w:ascii="Times New Roman" w:hAnsi="Times New Roman" w:cs="Times New Roman"/>
          <w:lang w:val="fr-FR"/>
        </w:rPr>
      </w:pPr>
    </w:p>
    <w:p w14:paraId="6AF62258" w14:textId="00B37C6C" w:rsidR="00A158C8" w:rsidRPr="00E84035" w:rsidRDefault="00A158C8" w:rsidP="00A158C8">
      <w:pPr>
        <w:pStyle w:val="Paragraphedeliste"/>
        <w:numPr>
          <w:ilvl w:val="0"/>
          <w:numId w:val="4"/>
        </w:numPr>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Pr="00E84035">
        <w:rPr>
          <w:rFonts w:ascii="Times New Roman" w:hAnsi="Times New Roman" w:cs="Times New Roman"/>
          <w:color w:val="000000" w:themeColor="text1"/>
          <w:lang w:val="fr-FR"/>
        </w:rPr>
        <w:t xml:space="preserve">'Union européenne (UE) met en œuvre le programme </w:t>
      </w:r>
      <w:r>
        <w:rPr>
          <w:rFonts w:ascii="Times New Roman" w:hAnsi="Times New Roman" w:cs="Times New Roman"/>
          <w:color w:val="000000" w:themeColor="text1"/>
          <w:lang w:val="fr-FR"/>
        </w:rPr>
        <w:t xml:space="preserve">dénommé « Soutien à la Sécurité Maritime Intégrée de l’Afrique de l’Ouest » </w:t>
      </w:r>
      <w:r w:rsidRPr="00E84035">
        <w:rPr>
          <w:rFonts w:ascii="Times New Roman" w:hAnsi="Times New Roman" w:cs="Times New Roman"/>
          <w:color w:val="000000" w:themeColor="text1"/>
          <w:lang w:val="fr-FR"/>
        </w:rPr>
        <w:t xml:space="preserve">(SWAIMS), en collaboration avec le Groupe </w:t>
      </w:r>
      <w:r>
        <w:rPr>
          <w:rFonts w:ascii="Times New Roman" w:hAnsi="Times New Roman" w:cs="Times New Roman"/>
          <w:color w:val="000000" w:themeColor="text1"/>
          <w:lang w:val="fr-FR"/>
        </w:rPr>
        <w:t>I</w:t>
      </w:r>
      <w:r w:rsidRPr="00E84035">
        <w:rPr>
          <w:rFonts w:ascii="Times New Roman" w:hAnsi="Times New Roman" w:cs="Times New Roman"/>
          <w:color w:val="000000" w:themeColor="text1"/>
          <w:lang w:val="fr-FR"/>
        </w:rPr>
        <w:t>ntergouvernemental d'</w:t>
      </w:r>
      <w:r>
        <w:rPr>
          <w:rFonts w:ascii="Times New Roman" w:hAnsi="Times New Roman" w:cs="Times New Roman"/>
          <w:color w:val="000000" w:themeColor="text1"/>
          <w:lang w:val="fr-FR"/>
        </w:rPr>
        <w:t>A</w:t>
      </w:r>
      <w:r w:rsidRPr="00E84035">
        <w:rPr>
          <w:rFonts w:ascii="Times New Roman" w:hAnsi="Times New Roman" w:cs="Times New Roman"/>
          <w:color w:val="000000" w:themeColor="text1"/>
          <w:lang w:val="fr-FR"/>
        </w:rPr>
        <w:t xml:space="preserve">ction contre le </w:t>
      </w:r>
      <w:r>
        <w:rPr>
          <w:rFonts w:ascii="Times New Roman" w:hAnsi="Times New Roman" w:cs="Times New Roman"/>
          <w:color w:val="000000" w:themeColor="text1"/>
          <w:lang w:val="fr-FR"/>
        </w:rPr>
        <w:t>B</w:t>
      </w:r>
      <w:r w:rsidRPr="00E84035">
        <w:rPr>
          <w:rFonts w:ascii="Times New Roman" w:hAnsi="Times New Roman" w:cs="Times New Roman"/>
          <w:color w:val="000000" w:themeColor="text1"/>
          <w:lang w:val="fr-FR"/>
        </w:rPr>
        <w:t>lanchiment d</w:t>
      </w:r>
      <w:r>
        <w:rPr>
          <w:rFonts w:ascii="Times New Roman" w:hAnsi="Times New Roman" w:cs="Times New Roman"/>
          <w:color w:val="000000" w:themeColor="text1"/>
          <w:lang w:val="fr-FR"/>
        </w:rPr>
        <w:t>’Argent</w:t>
      </w:r>
      <w:r w:rsidRPr="00E84035">
        <w:rPr>
          <w:rFonts w:ascii="Times New Roman" w:hAnsi="Times New Roman" w:cs="Times New Roman"/>
          <w:color w:val="000000" w:themeColor="text1"/>
          <w:lang w:val="fr-FR"/>
        </w:rPr>
        <w:t xml:space="preserve"> en Afrique de l'Ouest (GIABA), dans le cadre de la stratégie de l'UE pour le Golfe de Guinée. La stratégie reconnaît que les intérêts de la CEDEAO et de l'UE </w:t>
      </w:r>
      <w:r>
        <w:rPr>
          <w:rFonts w:ascii="Times New Roman" w:hAnsi="Times New Roman" w:cs="Times New Roman"/>
          <w:color w:val="000000" w:themeColor="text1"/>
          <w:lang w:val="fr-FR"/>
        </w:rPr>
        <w:t>convergent</w:t>
      </w:r>
      <w:r w:rsidRPr="00E84035">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vers</w:t>
      </w:r>
      <w:r w:rsidRPr="00E84035">
        <w:rPr>
          <w:rFonts w:ascii="Times New Roman" w:hAnsi="Times New Roman" w:cs="Times New Roman"/>
          <w:color w:val="000000" w:themeColor="text1"/>
          <w:lang w:val="fr-FR"/>
        </w:rPr>
        <w:t xml:space="preserve"> la promotion de la sécurité de la région, puisque l'UE a soutenu la sécurité régionale à travers un certain nombre d'autres initiatives similaires. Le GIABA est l'institution de la CEDEAO chargée de renforcer les capacités des Etats membres en matière de </w:t>
      </w:r>
      <w:r>
        <w:rPr>
          <w:rFonts w:ascii="Times New Roman" w:hAnsi="Times New Roman" w:cs="Times New Roman"/>
          <w:color w:val="000000" w:themeColor="text1"/>
          <w:lang w:val="fr-FR"/>
        </w:rPr>
        <w:t xml:space="preserve">lutte </w:t>
      </w:r>
      <w:r>
        <w:rPr>
          <w:rFonts w:ascii="Times New Roman" w:hAnsi="Times New Roman" w:cs="Times New Roman"/>
          <w:color w:val="000000" w:themeColor="text1"/>
          <w:lang w:val="fr-FR"/>
        </w:rPr>
        <w:lastRenderedPageBreak/>
        <w:t>contre le blanchiment de capitaux, le financement du terrorisme et de la prolifération des armes de destruction massive (BC/FTP).</w:t>
      </w:r>
      <w:r w:rsidRPr="00E84035">
        <w:rPr>
          <w:rFonts w:ascii="Times New Roman" w:hAnsi="Times New Roman" w:cs="Times New Roman"/>
          <w:color w:val="000000" w:themeColor="text1"/>
          <w:lang w:val="fr-FR"/>
        </w:rPr>
        <w:t xml:space="preserve">  Elle soutient</w:t>
      </w:r>
      <w:r>
        <w:rPr>
          <w:rFonts w:ascii="Times New Roman" w:hAnsi="Times New Roman" w:cs="Times New Roman"/>
          <w:color w:val="000000" w:themeColor="text1"/>
          <w:lang w:val="fr-FR"/>
        </w:rPr>
        <w:t>, en cela,</w:t>
      </w:r>
      <w:r w:rsidRPr="00E84035">
        <w:rPr>
          <w:rFonts w:ascii="Times New Roman" w:hAnsi="Times New Roman" w:cs="Times New Roman"/>
          <w:color w:val="000000" w:themeColor="text1"/>
          <w:lang w:val="fr-FR"/>
        </w:rPr>
        <w:t xml:space="preserve"> le</w:t>
      </w:r>
      <w:r>
        <w:rPr>
          <w:rFonts w:ascii="Times New Roman" w:hAnsi="Times New Roman" w:cs="Times New Roman"/>
          <w:color w:val="000000" w:themeColor="text1"/>
          <w:lang w:val="fr-FR"/>
        </w:rPr>
        <w:t xml:space="preserve">s efforts </w:t>
      </w:r>
      <w:r w:rsidRPr="00E84035">
        <w:rPr>
          <w:rFonts w:ascii="Times New Roman" w:hAnsi="Times New Roman" w:cs="Times New Roman"/>
          <w:color w:val="000000" w:themeColor="text1"/>
          <w:lang w:val="fr-FR"/>
        </w:rPr>
        <w:t>des Cellules de Renseignements Financiers</w:t>
      </w:r>
      <w:r w:rsidR="00173552">
        <w:rPr>
          <w:rFonts w:ascii="Times New Roman" w:hAnsi="Times New Roman" w:cs="Times New Roman"/>
          <w:color w:val="000000" w:themeColor="text1"/>
          <w:lang w:val="fr-FR"/>
        </w:rPr>
        <w:t xml:space="preserve"> (CRF)</w:t>
      </w:r>
      <w:r w:rsidRPr="00E84035">
        <w:rPr>
          <w:rFonts w:ascii="Times New Roman" w:hAnsi="Times New Roman" w:cs="Times New Roman"/>
          <w:color w:val="000000" w:themeColor="text1"/>
          <w:lang w:val="fr-FR"/>
        </w:rPr>
        <w:t xml:space="preserve"> à l'intérieur de chaque Etat membre dans l</w:t>
      </w:r>
      <w:r>
        <w:rPr>
          <w:rFonts w:ascii="Times New Roman" w:hAnsi="Times New Roman" w:cs="Times New Roman"/>
          <w:color w:val="000000" w:themeColor="text1"/>
          <w:lang w:val="fr-FR"/>
        </w:rPr>
        <w:t>e cadre de la réception, l’analyse et le traitement des</w:t>
      </w:r>
      <w:r w:rsidRPr="00E84035">
        <w:rPr>
          <w:rFonts w:ascii="Times New Roman" w:hAnsi="Times New Roman" w:cs="Times New Roman"/>
          <w:color w:val="000000" w:themeColor="text1"/>
          <w:lang w:val="fr-FR"/>
        </w:rPr>
        <w:t xml:space="preserve"> déclaration</w:t>
      </w:r>
      <w:r>
        <w:rPr>
          <w:rFonts w:ascii="Times New Roman" w:hAnsi="Times New Roman" w:cs="Times New Roman"/>
          <w:color w:val="000000" w:themeColor="text1"/>
          <w:lang w:val="fr-FR"/>
        </w:rPr>
        <w:t xml:space="preserve">s d’opérations </w:t>
      </w:r>
      <w:r w:rsidRPr="00E84035">
        <w:rPr>
          <w:rFonts w:ascii="Times New Roman" w:hAnsi="Times New Roman" w:cs="Times New Roman"/>
          <w:color w:val="000000" w:themeColor="text1"/>
          <w:lang w:val="fr-FR"/>
        </w:rPr>
        <w:t>suspectes</w:t>
      </w:r>
      <w:r>
        <w:rPr>
          <w:rFonts w:ascii="Times New Roman" w:hAnsi="Times New Roman" w:cs="Times New Roman"/>
          <w:color w:val="000000" w:themeColor="text1"/>
          <w:lang w:val="fr-FR"/>
        </w:rPr>
        <w:t xml:space="preserve">, de même que </w:t>
      </w:r>
      <w:r w:rsidRPr="00E84035">
        <w:rPr>
          <w:rFonts w:ascii="Times New Roman" w:hAnsi="Times New Roman" w:cs="Times New Roman"/>
          <w:color w:val="000000" w:themeColor="text1"/>
          <w:lang w:val="fr-FR"/>
        </w:rPr>
        <w:t>le suivi des enquêtes.</w:t>
      </w:r>
    </w:p>
    <w:p w14:paraId="7995AB88" w14:textId="77777777" w:rsidR="00320ED5" w:rsidRPr="000B574F" w:rsidRDefault="00320ED5" w:rsidP="00320ED5">
      <w:pPr>
        <w:jc w:val="both"/>
        <w:rPr>
          <w:rFonts w:ascii="Times New Roman" w:hAnsi="Times New Roman" w:cs="Times New Roman"/>
          <w:lang w:val="fr-FR"/>
        </w:rPr>
      </w:pPr>
    </w:p>
    <w:p w14:paraId="748CD856" w14:textId="77777777" w:rsidR="00173552" w:rsidRPr="00E84035" w:rsidRDefault="00173552" w:rsidP="00173552">
      <w:pPr>
        <w:pStyle w:val="Paragraphedeliste"/>
        <w:numPr>
          <w:ilvl w:val="0"/>
          <w:numId w:val="4"/>
        </w:numPr>
        <w:jc w:val="both"/>
        <w:rPr>
          <w:rFonts w:ascii="Times New Roman" w:hAnsi="Times New Roman" w:cs="Times New Roman"/>
          <w:b/>
          <w:bCs/>
          <w:color w:val="000000" w:themeColor="text1"/>
          <w:lang w:val="fr-FR"/>
        </w:rPr>
      </w:pPr>
      <w:r w:rsidRPr="00E84035">
        <w:rPr>
          <w:rFonts w:ascii="Times New Roman" w:hAnsi="Times New Roman" w:cs="Times New Roman"/>
          <w:color w:val="000000" w:themeColor="text1"/>
          <w:lang w:val="fr-FR"/>
        </w:rPr>
        <w:t xml:space="preserve">Le programme SWAIMS est une réponse cohérente conçue pour accroître la capacité des acteurs sécuritaires et non sécuritaires dans la lutte contre la criminalité maritime telle que la piraterie maritime, le vol de pétrole et la pêche illégale. L'un des volets </w:t>
      </w:r>
      <w:r>
        <w:rPr>
          <w:rFonts w:ascii="Times New Roman" w:hAnsi="Times New Roman" w:cs="Times New Roman"/>
          <w:color w:val="000000" w:themeColor="text1"/>
          <w:lang w:val="fr-FR"/>
        </w:rPr>
        <w:t xml:space="preserve">de ce programme porte essentiellement </w:t>
      </w:r>
      <w:r w:rsidRPr="00E84035">
        <w:rPr>
          <w:rFonts w:ascii="Times New Roman" w:hAnsi="Times New Roman" w:cs="Times New Roman"/>
          <w:color w:val="000000" w:themeColor="text1"/>
          <w:lang w:val="fr-FR"/>
        </w:rPr>
        <w:t xml:space="preserve">sur le blanchiment du produit des crimes commis en mer par les réseaux criminels. </w:t>
      </w:r>
      <w:r w:rsidRPr="00E84035">
        <w:rPr>
          <w:rFonts w:ascii="Times New Roman" w:hAnsi="Times New Roman" w:cs="Times New Roman"/>
          <w:b/>
          <w:bCs/>
          <w:color w:val="000000" w:themeColor="text1"/>
          <w:lang w:val="fr-FR"/>
        </w:rPr>
        <w:t xml:space="preserve">Cependant, le manque de connaissances sur les produits financiers de ces crimes, comme </w:t>
      </w:r>
      <w:r>
        <w:rPr>
          <w:rFonts w:ascii="Times New Roman" w:hAnsi="Times New Roman" w:cs="Times New Roman"/>
          <w:b/>
          <w:bCs/>
          <w:color w:val="000000" w:themeColor="text1"/>
          <w:lang w:val="fr-FR"/>
        </w:rPr>
        <w:t>indiqué plus haut</w:t>
      </w:r>
      <w:r w:rsidRPr="00E84035">
        <w:rPr>
          <w:rFonts w:ascii="Times New Roman" w:hAnsi="Times New Roman" w:cs="Times New Roman"/>
          <w:b/>
          <w:bCs/>
          <w:color w:val="000000" w:themeColor="text1"/>
          <w:lang w:val="fr-FR"/>
        </w:rPr>
        <w:t xml:space="preserve">, entrave l'efficacité des enquêtes sur la piraterie, le </w:t>
      </w:r>
      <w:r>
        <w:rPr>
          <w:rFonts w:ascii="Times New Roman" w:hAnsi="Times New Roman" w:cs="Times New Roman"/>
          <w:b/>
          <w:bCs/>
          <w:color w:val="000000" w:themeColor="text1"/>
          <w:lang w:val="fr-FR"/>
        </w:rPr>
        <w:t>détournement</w:t>
      </w:r>
      <w:r w:rsidRPr="00E84035">
        <w:rPr>
          <w:rFonts w:ascii="Times New Roman" w:hAnsi="Times New Roman" w:cs="Times New Roman"/>
          <w:b/>
          <w:bCs/>
          <w:color w:val="000000" w:themeColor="text1"/>
          <w:lang w:val="fr-FR"/>
        </w:rPr>
        <w:t xml:space="preserve"> du pétrole, la pêche illégale et les incidents de corruption qui y sont associés.</w:t>
      </w:r>
    </w:p>
    <w:p w14:paraId="5A5442F1" w14:textId="77777777" w:rsidR="00173552" w:rsidRPr="00E84035" w:rsidRDefault="00173552" w:rsidP="00173552">
      <w:pPr>
        <w:pStyle w:val="Paragraphedeliste"/>
        <w:jc w:val="both"/>
        <w:rPr>
          <w:rFonts w:ascii="Times New Roman" w:hAnsi="Times New Roman" w:cs="Times New Roman"/>
          <w:color w:val="000000" w:themeColor="text1"/>
          <w:lang w:val="fr-FR"/>
        </w:rPr>
      </w:pPr>
    </w:p>
    <w:p w14:paraId="6D99005F" w14:textId="77777777" w:rsidR="00173552" w:rsidRPr="00E84035" w:rsidRDefault="00173552" w:rsidP="00173552">
      <w:pPr>
        <w:pStyle w:val="Paragraphedeliste"/>
        <w:numPr>
          <w:ilvl w:val="0"/>
          <w:numId w:val="4"/>
        </w:numPr>
        <w:jc w:val="both"/>
        <w:rPr>
          <w:rFonts w:ascii="Times New Roman" w:hAnsi="Times New Roman" w:cs="Times New Roman"/>
          <w:color w:val="000000" w:themeColor="text1"/>
          <w:lang w:val="fr-FR"/>
        </w:rPr>
      </w:pPr>
      <w:r w:rsidRPr="00E84035">
        <w:rPr>
          <w:rFonts w:ascii="Times New Roman" w:hAnsi="Times New Roman" w:cs="Times New Roman"/>
          <w:color w:val="000000" w:themeColor="text1"/>
          <w:lang w:val="fr-FR"/>
        </w:rPr>
        <w:t xml:space="preserve">L'objectif général de </w:t>
      </w:r>
      <w:r>
        <w:rPr>
          <w:rFonts w:ascii="Times New Roman" w:hAnsi="Times New Roman" w:cs="Times New Roman"/>
          <w:color w:val="000000" w:themeColor="text1"/>
          <w:lang w:val="fr-FR"/>
        </w:rPr>
        <w:t xml:space="preserve">la présente étude </w:t>
      </w:r>
      <w:r w:rsidRPr="00E84035">
        <w:rPr>
          <w:rFonts w:ascii="Times New Roman" w:hAnsi="Times New Roman" w:cs="Times New Roman"/>
          <w:b/>
          <w:bCs/>
          <w:color w:val="000000" w:themeColor="text1"/>
          <w:lang w:val="fr-FR"/>
        </w:rPr>
        <w:t xml:space="preserve">est de comprendre les mécanismes de blanchiment par lesquels les produits financiers provenant de différentes formes de criminalité maritime entrent dans l'économie, ainsi que l'importance et l'impact de ces flux financiers dans les économies régionales. </w:t>
      </w:r>
      <w:r w:rsidRPr="00D35616">
        <w:rPr>
          <w:rFonts w:ascii="Times New Roman" w:hAnsi="Times New Roman" w:cs="Times New Roman"/>
          <w:color w:val="000000" w:themeColor="text1"/>
          <w:lang w:val="fr-FR"/>
        </w:rPr>
        <w:t>La</w:t>
      </w:r>
      <w:r w:rsidRPr="00E84035">
        <w:rPr>
          <w:rFonts w:ascii="Times New Roman" w:hAnsi="Times New Roman" w:cs="Times New Roman"/>
          <w:b/>
          <w:bCs/>
          <w:color w:val="000000" w:themeColor="text1"/>
          <w:lang w:val="fr-FR"/>
        </w:rPr>
        <w:t xml:space="preserve"> </w:t>
      </w:r>
      <w:r w:rsidRPr="00E84035">
        <w:rPr>
          <w:rFonts w:ascii="Times New Roman" w:hAnsi="Times New Roman" w:cs="Times New Roman"/>
          <w:color w:val="000000" w:themeColor="text1"/>
          <w:lang w:val="fr-FR"/>
        </w:rPr>
        <w:t>recherche devrait également identifier les points nodaux où les groupes criminels impliqués dans la criminalité maritime se connectent à l'économie formelle.</w:t>
      </w:r>
    </w:p>
    <w:p w14:paraId="3C80DF73" w14:textId="77777777" w:rsidR="007B100E" w:rsidRPr="000B574F" w:rsidRDefault="007B100E" w:rsidP="007B100E">
      <w:pPr>
        <w:pStyle w:val="Paragraphedeliste"/>
        <w:rPr>
          <w:rFonts w:ascii="Times New Roman" w:hAnsi="Times New Roman" w:cs="Times New Roman"/>
          <w:color w:val="000000" w:themeColor="text1"/>
          <w:lang w:val="fr-FR"/>
        </w:rPr>
      </w:pPr>
    </w:p>
    <w:p w14:paraId="1F9834B8" w14:textId="1F131799" w:rsidR="00B57F71" w:rsidRPr="000B574F" w:rsidRDefault="00271385">
      <w:pPr>
        <w:pStyle w:val="Paragraphedeliste"/>
        <w:numPr>
          <w:ilvl w:val="0"/>
          <w:numId w:val="4"/>
        </w:numPr>
        <w:spacing w:after="160" w:line="276" w:lineRule="auto"/>
        <w:jc w:val="both"/>
        <w:rPr>
          <w:rFonts w:ascii="Times New Roman" w:hAnsi="Times New Roman" w:cs="Times New Roman"/>
          <w:color w:val="000000" w:themeColor="text1"/>
          <w:lang w:val="fr-FR"/>
        </w:rPr>
      </w:pPr>
      <w:r w:rsidRPr="000B574F">
        <w:rPr>
          <w:rFonts w:ascii="Times New Roman" w:hAnsi="Times New Roman"/>
          <w:color w:val="000000"/>
          <w:lang w:val="fr-FR" w:eastAsia="en-GB"/>
        </w:rPr>
        <w:t xml:space="preserve">Compte tenu de ce qui précède, le </w:t>
      </w:r>
      <w:r w:rsidR="00755AA0">
        <w:rPr>
          <w:rFonts w:ascii="Times New Roman" w:hAnsi="Times New Roman"/>
          <w:color w:val="000000"/>
          <w:lang w:val="fr-FR" w:eastAsia="en-GB"/>
        </w:rPr>
        <w:t xml:space="preserve">Secrétariat du </w:t>
      </w:r>
      <w:r w:rsidRPr="000B574F">
        <w:rPr>
          <w:rFonts w:ascii="Times New Roman" w:hAnsi="Times New Roman"/>
          <w:color w:val="000000"/>
          <w:lang w:val="fr-FR" w:eastAsia="en-GB"/>
        </w:rPr>
        <w:t xml:space="preserve">GIABA </w:t>
      </w:r>
      <w:r w:rsidR="00755AA0">
        <w:rPr>
          <w:rFonts w:ascii="Times New Roman" w:hAnsi="Times New Roman"/>
          <w:color w:val="000000"/>
          <w:lang w:val="fr-FR" w:eastAsia="en-GB"/>
        </w:rPr>
        <w:t>recrute</w:t>
      </w:r>
      <w:r w:rsidRPr="000B574F">
        <w:rPr>
          <w:rFonts w:ascii="Times New Roman" w:hAnsi="Times New Roman"/>
          <w:color w:val="000000"/>
          <w:lang w:val="fr-FR" w:eastAsia="en-GB"/>
        </w:rPr>
        <w:t xml:space="preserve"> des consultants individuels pour mener des études spécifiques à chaque pays sur le </w:t>
      </w:r>
      <w:r w:rsidR="00E42946" w:rsidRPr="000B574F">
        <w:rPr>
          <w:rFonts w:ascii="Times New Roman" w:hAnsi="Times New Roman"/>
          <w:color w:val="000000"/>
          <w:lang w:val="fr-FR" w:eastAsia="en-GB"/>
        </w:rPr>
        <w:t>blanchiment d</w:t>
      </w:r>
      <w:r w:rsidR="00755AA0">
        <w:rPr>
          <w:rFonts w:ascii="Times New Roman" w:hAnsi="Times New Roman"/>
          <w:color w:val="000000"/>
          <w:lang w:val="fr-FR" w:eastAsia="en-GB"/>
        </w:rPr>
        <w:t>e capitaux</w:t>
      </w:r>
      <w:r w:rsidR="00E42946" w:rsidRPr="000B574F">
        <w:rPr>
          <w:rFonts w:ascii="Times New Roman" w:hAnsi="Times New Roman"/>
          <w:color w:val="000000"/>
          <w:lang w:val="fr-FR" w:eastAsia="en-GB"/>
        </w:rPr>
        <w:t>, financement du terrorisme et les flux financiers illicites liés à la criminalité maritime dans le Golfe de Guinée</w:t>
      </w:r>
      <w:r w:rsidR="00F250F6" w:rsidRPr="000B574F">
        <w:rPr>
          <w:rFonts w:ascii="Times New Roman" w:hAnsi="Times New Roman"/>
          <w:color w:val="000000"/>
          <w:lang w:val="fr-FR" w:eastAsia="en-GB"/>
        </w:rPr>
        <w:t>.</w:t>
      </w:r>
    </w:p>
    <w:p w14:paraId="4703F056" w14:textId="258F93DB" w:rsidR="00285162" w:rsidRPr="000B574F" w:rsidRDefault="00285162" w:rsidP="00692381">
      <w:pPr>
        <w:spacing w:line="360" w:lineRule="auto"/>
        <w:jc w:val="both"/>
        <w:rPr>
          <w:rFonts w:ascii="Times New Roman" w:hAnsi="Times New Roman" w:cs="Times New Roman"/>
          <w:b/>
          <w:bCs/>
          <w:lang w:val="fr-FR"/>
        </w:rPr>
      </w:pPr>
    </w:p>
    <w:p w14:paraId="2D2B272D" w14:textId="77777777" w:rsidR="00B57F71" w:rsidRDefault="00271385">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Nature de la </w:t>
      </w:r>
      <w:r w:rsidRPr="00A17A0F">
        <w:rPr>
          <w:rFonts w:ascii="Times New Roman" w:hAnsi="Times New Roman" w:cs="Times New Roman"/>
          <w:b/>
          <w:bCs/>
          <w:lang w:val="en-US"/>
        </w:rPr>
        <w:t xml:space="preserve">mission </w:t>
      </w:r>
    </w:p>
    <w:p w14:paraId="6B8AA2E4" w14:textId="77777777" w:rsidR="00B57F71" w:rsidRPr="000B574F" w:rsidRDefault="00271385">
      <w:pPr>
        <w:pStyle w:val="Paragraphedeliste"/>
        <w:numPr>
          <w:ilvl w:val="0"/>
          <w:numId w:val="4"/>
        </w:numPr>
        <w:spacing w:after="160" w:line="276" w:lineRule="auto"/>
        <w:jc w:val="both"/>
        <w:rPr>
          <w:rFonts w:ascii="Times New Roman" w:hAnsi="Times New Roman"/>
          <w:color w:val="000000"/>
          <w:lang w:val="fr-FR" w:eastAsia="en-GB"/>
        </w:rPr>
      </w:pPr>
      <w:r w:rsidRPr="000B574F">
        <w:rPr>
          <w:rFonts w:ascii="Times New Roman" w:hAnsi="Times New Roman"/>
          <w:color w:val="000000"/>
          <w:lang w:val="fr-FR" w:eastAsia="en-GB"/>
        </w:rPr>
        <w:t xml:space="preserve">La nature et la portée de la mission sont les suivantes </w:t>
      </w:r>
      <w:r w:rsidR="0035397F" w:rsidRPr="000B574F">
        <w:rPr>
          <w:rFonts w:ascii="Times New Roman" w:hAnsi="Times New Roman" w:cs="Times New Roman"/>
          <w:color w:val="000000" w:themeColor="text1"/>
          <w:lang w:val="fr-FR"/>
        </w:rPr>
        <w:t>:</w:t>
      </w:r>
    </w:p>
    <w:p w14:paraId="7B7B2554" w14:textId="77777777" w:rsidR="00C4413E" w:rsidRPr="000B574F" w:rsidRDefault="00C4413E" w:rsidP="00C4413E">
      <w:pPr>
        <w:pStyle w:val="Paragraphedeliste"/>
        <w:jc w:val="both"/>
        <w:rPr>
          <w:rFonts w:ascii="Times New Roman" w:hAnsi="Times New Roman" w:cs="Times New Roman"/>
          <w:color w:val="000000" w:themeColor="text1"/>
          <w:lang w:val="fr-FR"/>
        </w:rPr>
      </w:pPr>
    </w:p>
    <w:p w14:paraId="196D31C0" w14:textId="77777777" w:rsidR="00B21D00" w:rsidRPr="00E84035" w:rsidRDefault="00B21D00" w:rsidP="00B21D00">
      <w:pPr>
        <w:numPr>
          <w:ilvl w:val="0"/>
          <w:numId w:val="7"/>
        </w:numPr>
        <w:spacing w:line="276" w:lineRule="auto"/>
        <w:jc w:val="both"/>
        <w:rPr>
          <w:rFonts w:ascii="Times New Roman" w:hAnsi="Times New Roman" w:cs="Times New Roman"/>
          <w:lang w:val="fr-FR"/>
        </w:rPr>
      </w:pPr>
      <w:r>
        <w:rPr>
          <w:rFonts w:ascii="Times New Roman" w:hAnsi="Times New Roman" w:cs="Times New Roman"/>
          <w:lang w:val="fr-FR"/>
        </w:rPr>
        <w:t>Etat des lieux</w:t>
      </w:r>
      <w:r w:rsidRPr="00E84035">
        <w:rPr>
          <w:rFonts w:ascii="Times New Roman" w:hAnsi="Times New Roman" w:cs="Times New Roman"/>
          <w:lang w:val="fr-FR"/>
        </w:rPr>
        <w:t xml:space="preserve"> de</w:t>
      </w:r>
      <w:r>
        <w:rPr>
          <w:rFonts w:ascii="Times New Roman" w:hAnsi="Times New Roman" w:cs="Times New Roman"/>
          <w:lang w:val="fr-FR"/>
        </w:rPr>
        <w:t>s différents problèmes associés à</w:t>
      </w:r>
      <w:r w:rsidRPr="00E84035">
        <w:rPr>
          <w:rFonts w:ascii="Times New Roman" w:hAnsi="Times New Roman" w:cs="Times New Roman"/>
          <w:lang w:val="fr-FR"/>
        </w:rPr>
        <w:t xml:space="preserve"> la criminalité maritime en Afrique de l'Ouest</w:t>
      </w:r>
      <w:r>
        <w:rPr>
          <w:rFonts w:ascii="Times New Roman" w:hAnsi="Times New Roman" w:cs="Times New Roman"/>
          <w:lang w:val="fr-FR"/>
        </w:rPr>
        <w:t>, y compris les types d’économies criminelles et les acteurs impliqués</w:t>
      </w:r>
      <w:r w:rsidRPr="00E84035">
        <w:rPr>
          <w:rFonts w:ascii="Times New Roman" w:hAnsi="Times New Roman" w:cs="Times New Roman"/>
          <w:lang w:val="fr-FR"/>
        </w:rPr>
        <w:t xml:space="preserve"> ;</w:t>
      </w:r>
    </w:p>
    <w:p w14:paraId="0D1A4063" w14:textId="77777777" w:rsidR="00B21D00" w:rsidRPr="00E84035" w:rsidRDefault="00B21D00" w:rsidP="00B21D00">
      <w:pPr>
        <w:pStyle w:val="Paragraphedeliste"/>
        <w:numPr>
          <w:ilvl w:val="0"/>
          <w:numId w:val="7"/>
        </w:numPr>
        <w:spacing w:line="276" w:lineRule="auto"/>
        <w:jc w:val="both"/>
        <w:rPr>
          <w:rFonts w:ascii="Times New Roman" w:hAnsi="Times New Roman" w:cs="Times New Roman"/>
          <w:lang w:val="fr-FR"/>
        </w:rPr>
      </w:pPr>
      <w:r w:rsidRPr="00E84035">
        <w:rPr>
          <w:rFonts w:ascii="Times New Roman" w:hAnsi="Times New Roman" w:cs="Times New Roman"/>
          <w:lang w:val="fr-FR"/>
        </w:rPr>
        <w:t>Identification d'exemples de cas spécifiques à chaque pays qui révèlent les liens entre la criminalité maritime et les flux financiers illicites dans la région</w:t>
      </w:r>
      <w:r>
        <w:rPr>
          <w:rFonts w:ascii="Times New Roman" w:hAnsi="Times New Roman" w:cs="Times New Roman"/>
          <w:lang w:val="fr-FR"/>
        </w:rPr>
        <w:t xml:space="preserve"> </w:t>
      </w:r>
      <w:r w:rsidRPr="00E84035">
        <w:rPr>
          <w:rFonts w:ascii="Times New Roman" w:hAnsi="Times New Roman" w:cs="Times New Roman"/>
          <w:lang w:val="fr-FR"/>
        </w:rPr>
        <w:t>;</w:t>
      </w:r>
    </w:p>
    <w:p w14:paraId="4324BAD4" w14:textId="77777777" w:rsidR="00B21D00" w:rsidRPr="00E84035" w:rsidRDefault="00B21D00" w:rsidP="00B21D00">
      <w:pPr>
        <w:pStyle w:val="Paragraphedeliste"/>
        <w:numPr>
          <w:ilvl w:val="0"/>
          <w:numId w:val="7"/>
        </w:numPr>
        <w:spacing w:line="276" w:lineRule="auto"/>
        <w:jc w:val="both"/>
        <w:rPr>
          <w:rFonts w:ascii="Times New Roman" w:hAnsi="Times New Roman" w:cs="Times New Roman"/>
          <w:lang w:val="fr-FR"/>
        </w:rPr>
      </w:pPr>
      <w:r w:rsidRPr="00E84035">
        <w:rPr>
          <w:rFonts w:ascii="Times New Roman" w:hAnsi="Times New Roman" w:cs="Times New Roman"/>
          <w:lang w:val="fr-FR"/>
        </w:rPr>
        <w:t>Identification claire des lacunes opérationnelles dans les réponses de chaque pays à la criminalité maritime et aux flux financiers illicites qui y sont associés ; et</w:t>
      </w:r>
    </w:p>
    <w:p w14:paraId="73203EF0" w14:textId="77777777" w:rsidR="00B21D00" w:rsidRPr="00E84035" w:rsidRDefault="00B21D00" w:rsidP="00B21D00">
      <w:pPr>
        <w:pStyle w:val="Paragraphedeliste"/>
        <w:numPr>
          <w:ilvl w:val="0"/>
          <w:numId w:val="7"/>
        </w:numPr>
        <w:spacing w:line="276" w:lineRule="auto"/>
        <w:jc w:val="both"/>
        <w:rPr>
          <w:rFonts w:ascii="Times New Roman" w:hAnsi="Times New Roman" w:cs="Times New Roman"/>
          <w:lang w:val="fr-FR"/>
        </w:rPr>
      </w:pPr>
      <w:r w:rsidRPr="00E84035">
        <w:rPr>
          <w:rFonts w:ascii="Times New Roman" w:hAnsi="Times New Roman" w:cs="Times New Roman"/>
          <w:lang w:val="fr-FR"/>
        </w:rPr>
        <w:t>Formulation de recommandations politiques et opérationnelles sur la manière de relever efficacement les défis identifiés.</w:t>
      </w:r>
    </w:p>
    <w:p w14:paraId="371B7AEB" w14:textId="77777777" w:rsidR="00B21D00" w:rsidRPr="00E84035" w:rsidRDefault="00B21D00" w:rsidP="00B21D00">
      <w:pPr>
        <w:pStyle w:val="Paragraphedeliste"/>
        <w:numPr>
          <w:ilvl w:val="0"/>
          <w:numId w:val="7"/>
        </w:numPr>
        <w:spacing w:line="276" w:lineRule="auto"/>
        <w:jc w:val="both"/>
        <w:rPr>
          <w:rFonts w:ascii="Times New Roman" w:hAnsi="Times New Roman" w:cs="Times New Roman"/>
          <w:lang w:val="fr-FR"/>
        </w:rPr>
      </w:pPr>
      <w:r w:rsidRPr="00E84035">
        <w:rPr>
          <w:rFonts w:ascii="Times New Roman" w:hAnsi="Times New Roman" w:cs="Times New Roman"/>
          <w:lang w:val="fr-FR"/>
        </w:rPr>
        <w:t>Évaluer la dimension de genre, en tenant compte de l'impact de ces actions criminelles sur les hommes et les femmes, et du rôle qu'ils jouent dans les réseaux criminels.</w:t>
      </w:r>
    </w:p>
    <w:p w14:paraId="32217033" w14:textId="77777777" w:rsidR="00497727" w:rsidRPr="000B574F" w:rsidRDefault="00497727" w:rsidP="00497727">
      <w:pPr>
        <w:pStyle w:val="Paragraphedeliste"/>
        <w:spacing w:line="276" w:lineRule="auto"/>
        <w:ind w:left="1800"/>
        <w:jc w:val="both"/>
        <w:rPr>
          <w:rFonts w:ascii="Times New Roman" w:hAnsi="Times New Roman" w:cs="Times New Roman"/>
          <w:lang w:val="fr-FR"/>
        </w:rPr>
      </w:pPr>
    </w:p>
    <w:p w14:paraId="1DD68B49" w14:textId="77777777" w:rsidR="00B57F71" w:rsidRDefault="00271385">
      <w:pPr>
        <w:pStyle w:val="Paragraphedeliste"/>
        <w:spacing w:after="200" w:line="360" w:lineRule="auto"/>
        <w:ind w:left="0"/>
        <w:jc w:val="both"/>
        <w:rPr>
          <w:rFonts w:ascii="Times New Roman" w:hAnsi="Times New Roman"/>
          <w:b/>
          <w:bCs/>
          <w:color w:val="000000"/>
          <w:lang w:eastAsia="en-GB"/>
        </w:rPr>
      </w:pPr>
      <w:r w:rsidRPr="00497727">
        <w:rPr>
          <w:rFonts w:ascii="Times New Roman" w:hAnsi="Times New Roman"/>
          <w:b/>
          <w:bCs/>
          <w:color w:val="000000"/>
          <w:lang w:eastAsia="en-GB"/>
        </w:rPr>
        <w:lastRenderedPageBreak/>
        <w:t>Séquence des livrables</w:t>
      </w:r>
    </w:p>
    <w:p w14:paraId="4AAA331B" w14:textId="77777777" w:rsidR="00B57F71" w:rsidRPr="000B574F" w:rsidRDefault="00271385">
      <w:pPr>
        <w:pStyle w:val="Paragraphedeliste"/>
        <w:numPr>
          <w:ilvl w:val="0"/>
          <w:numId w:val="4"/>
        </w:numPr>
        <w:spacing w:line="276" w:lineRule="auto"/>
        <w:jc w:val="both"/>
        <w:rPr>
          <w:rFonts w:ascii="Times New Roman" w:hAnsi="Times New Roman" w:cs="Times New Roman"/>
          <w:color w:val="000000" w:themeColor="text1"/>
          <w:lang w:val="fr-FR"/>
        </w:rPr>
      </w:pPr>
      <w:bookmarkStart w:id="1" w:name="_Hlk77183827"/>
      <w:r w:rsidRPr="000B574F">
        <w:rPr>
          <w:rFonts w:ascii="Times New Roman" w:hAnsi="Times New Roman" w:cs="Times New Roman"/>
          <w:color w:val="000000" w:themeColor="text1"/>
          <w:lang w:val="fr-FR"/>
        </w:rPr>
        <w:t>Le chercheur national doit produire un rapport d'au moins 50 pages, sans compter les pièces jointes et les références, conformément au calendrier suivant :</w:t>
      </w:r>
    </w:p>
    <w:p w14:paraId="3624A26E" w14:textId="77777777" w:rsidR="002405B9" w:rsidRPr="000B574F" w:rsidRDefault="002405B9" w:rsidP="002405B9">
      <w:pPr>
        <w:pStyle w:val="Paragraphedeliste"/>
        <w:spacing w:line="276" w:lineRule="auto"/>
        <w:jc w:val="both"/>
        <w:rPr>
          <w:rFonts w:ascii="Times New Roman" w:hAnsi="Times New Roman" w:cs="Times New Roman"/>
          <w:color w:val="000000" w:themeColor="text1"/>
          <w:lang w:val="fr-FR"/>
        </w:rPr>
      </w:pPr>
    </w:p>
    <w:p w14:paraId="7E776680" w14:textId="120A8AE3" w:rsidR="00B57F71" w:rsidRPr="000B574F" w:rsidRDefault="00271385">
      <w:pPr>
        <w:numPr>
          <w:ilvl w:val="0"/>
          <w:numId w:val="9"/>
        </w:numPr>
        <w:spacing w:after="200" w:line="276" w:lineRule="auto"/>
        <w:contextualSpacing/>
        <w:jc w:val="both"/>
        <w:rPr>
          <w:rFonts w:ascii="Times New Roman" w:hAnsi="Times New Roman"/>
          <w:lang w:val="fr-FR"/>
        </w:rPr>
      </w:pPr>
      <w:r w:rsidRPr="000B574F">
        <w:rPr>
          <w:rFonts w:ascii="Times New Roman" w:hAnsi="Times New Roman"/>
          <w:lang w:val="fr-FR"/>
        </w:rPr>
        <w:t xml:space="preserve">Un </w:t>
      </w:r>
      <w:r w:rsidRPr="00C3163C">
        <w:rPr>
          <w:rFonts w:ascii="Times New Roman" w:hAnsi="Times New Roman"/>
          <w:b/>
          <w:bCs/>
          <w:lang w:val="fr-FR"/>
        </w:rPr>
        <w:t>rapport initial</w:t>
      </w:r>
      <w:r w:rsidRPr="000B574F">
        <w:rPr>
          <w:rFonts w:ascii="Times New Roman" w:hAnsi="Times New Roman"/>
          <w:lang w:val="fr-FR"/>
        </w:rPr>
        <w:t xml:space="preserve"> </w:t>
      </w:r>
      <w:r w:rsidR="00650270">
        <w:rPr>
          <w:rFonts w:ascii="Times New Roman" w:hAnsi="Times New Roman"/>
          <w:lang w:val="fr-FR"/>
        </w:rPr>
        <w:t>sera</w:t>
      </w:r>
      <w:r w:rsidR="0082500F" w:rsidRPr="000B574F">
        <w:rPr>
          <w:rFonts w:ascii="Times New Roman" w:hAnsi="Times New Roman"/>
          <w:lang w:val="fr-FR"/>
        </w:rPr>
        <w:t xml:space="preserve"> soumis </w:t>
      </w:r>
      <w:r w:rsidR="00650270">
        <w:rPr>
          <w:rFonts w:ascii="Times New Roman" w:hAnsi="Times New Roman"/>
          <w:lang w:val="fr-FR"/>
        </w:rPr>
        <w:t xml:space="preserve">à l’équipe de projet </w:t>
      </w:r>
      <w:r w:rsidR="0082500F" w:rsidRPr="000B574F">
        <w:rPr>
          <w:rFonts w:ascii="Times New Roman" w:hAnsi="Times New Roman"/>
          <w:b/>
          <w:bCs/>
          <w:lang w:val="fr-FR"/>
        </w:rPr>
        <w:t xml:space="preserve">deux (02) semaines </w:t>
      </w:r>
      <w:r w:rsidR="0082500F" w:rsidRPr="000B574F">
        <w:rPr>
          <w:rFonts w:ascii="Times New Roman" w:hAnsi="Times New Roman"/>
          <w:lang w:val="fr-FR"/>
        </w:rPr>
        <w:t>après la signature du contrat</w:t>
      </w:r>
      <w:r w:rsidR="00650270">
        <w:rPr>
          <w:rFonts w:ascii="Times New Roman" w:hAnsi="Times New Roman"/>
          <w:lang w:val="fr-FR"/>
        </w:rPr>
        <w:t>. Il devrait montrer</w:t>
      </w:r>
      <w:r w:rsidR="000F7C3E">
        <w:rPr>
          <w:rFonts w:ascii="Times New Roman" w:hAnsi="Times New Roman"/>
          <w:lang w:val="fr-FR"/>
        </w:rPr>
        <w:t xml:space="preserve"> la manière dont le consultant comprend</w:t>
      </w:r>
      <w:r w:rsidR="00650270" w:rsidRPr="000B574F">
        <w:rPr>
          <w:rFonts w:ascii="Times New Roman" w:hAnsi="Times New Roman"/>
          <w:lang w:val="fr-FR"/>
        </w:rPr>
        <w:t xml:space="preserve"> la nature </w:t>
      </w:r>
      <w:r w:rsidR="00C3163C">
        <w:rPr>
          <w:rFonts w:ascii="Times New Roman" w:hAnsi="Times New Roman"/>
          <w:lang w:val="fr-FR"/>
        </w:rPr>
        <w:t xml:space="preserve">et la portée </w:t>
      </w:r>
      <w:r w:rsidR="00650270" w:rsidRPr="000B574F">
        <w:rPr>
          <w:rFonts w:ascii="Times New Roman" w:hAnsi="Times New Roman"/>
          <w:lang w:val="fr-FR"/>
        </w:rPr>
        <w:t xml:space="preserve">de la mission et </w:t>
      </w:r>
      <w:r w:rsidR="00777311">
        <w:rPr>
          <w:rFonts w:ascii="Times New Roman" w:hAnsi="Times New Roman"/>
          <w:lang w:val="fr-FR"/>
        </w:rPr>
        <w:t xml:space="preserve">la démarche qu’il </w:t>
      </w:r>
      <w:r w:rsidR="00C3163C">
        <w:rPr>
          <w:rFonts w:ascii="Times New Roman" w:hAnsi="Times New Roman"/>
          <w:lang w:val="fr-FR"/>
        </w:rPr>
        <w:t>entend</w:t>
      </w:r>
      <w:r w:rsidR="00777311">
        <w:rPr>
          <w:rFonts w:ascii="Times New Roman" w:hAnsi="Times New Roman"/>
          <w:lang w:val="fr-FR"/>
        </w:rPr>
        <w:t xml:space="preserve"> mettre en œuvre pour</w:t>
      </w:r>
      <w:r w:rsidR="00C3163C">
        <w:rPr>
          <w:rFonts w:ascii="Times New Roman" w:hAnsi="Times New Roman"/>
          <w:lang w:val="fr-FR"/>
        </w:rPr>
        <w:t xml:space="preserve"> y arriver</w:t>
      </w:r>
      <w:r w:rsidR="00650270" w:rsidRPr="000B574F">
        <w:rPr>
          <w:rFonts w:ascii="Times New Roman" w:hAnsi="Times New Roman"/>
          <w:lang w:val="fr-FR"/>
        </w:rPr>
        <w:t xml:space="preserve"> </w:t>
      </w:r>
      <w:r w:rsidRPr="000B574F">
        <w:rPr>
          <w:rFonts w:ascii="Times New Roman" w:hAnsi="Times New Roman"/>
          <w:lang w:val="fr-FR"/>
        </w:rPr>
        <w:t>;</w:t>
      </w:r>
    </w:p>
    <w:p w14:paraId="45A43895" w14:textId="4567A135" w:rsidR="00B57F71" w:rsidRPr="000B574F" w:rsidRDefault="0012032C">
      <w:pPr>
        <w:numPr>
          <w:ilvl w:val="0"/>
          <w:numId w:val="9"/>
        </w:numPr>
        <w:spacing w:after="200" w:line="276" w:lineRule="auto"/>
        <w:contextualSpacing/>
        <w:jc w:val="both"/>
        <w:rPr>
          <w:rFonts w:ascii="Times New Roman" w:hAnsi="Times New Roman"/>
          <w:lang w:val="fr-FR"/>
        </w:rPr>
      </w:pPr>
      <w:r w:rsidRPr="0012032C">
        <w:rPr>
          <w:rFonts w:ascii="Times New Roman" w:hAnsi="Times New Roman"/>
          <w:lang w:val="fr-FR"/>
        </w:rPr>
        <w:t xml:space="preserve">Un premier projet de rapport à soumettre </w:t>
      </w:r>
      <w:r w:rsidRPr="0012032C">
        <w:rPr>
          <w:rFonts w:ascii="Times New Roman" w:hAnsi="Times New Roman"/>
          <w:b/>
          <w:bCs/>
          <w:lang w:val="fr-FR"/>
        </w:rPr>
        <w:t xml:space="preserve">dans les deux (02) mois suivant la </w:t>
      </w:r>
      <w:r w:rsidRPr="0012032C">
        <w:rPr>
          <w:rFonts w:ascii="Times New Roman" w:hAnsi="Times New Roman"/>
          <w:lang w:val="fr-FR"/>
        </w:rPr>
        <w:t>soumission du rapport initial</w:t>
      </w:r>
      <w:r>
        <w:rPr>
          <w:rFonts w:ascii="Times New Roman" w:hAnsi="Times New Roman"/>
          <w:lang w:val="fr-FR"/>
        </w:rPr>
        <w:t xml:space="preserve"> </w:t>
      </w:r>
      <w:r w:rsidR="00271385" w:rsidRPr="000B574F">
        <w:rPr>
          <w:rFonts w:ascii="Times New Roman" w:hAnsi="Times New Roman"/>
          <w:lang w:val="fr-FR"/>
        </w:rPr>
        <w:t>;</w:t>
      </w:r>
    </w:p>
    <w:p w14:paraId="481B7E2D" w14:textId="0A1734B9" w:rsidR="00B57F71" w:rsidRPr="000B574F" w:rsidRDefault="0012032C">
      <w:pPr>
        <w:numPr>
          <w:ilvl w:val="0"/>
          <w:numId w:val="9"/>
        </w:numPr>
        <w:spacing w:after="200" w:line="276" w:lineRule="auto"/>
        <w:contextualSpacing/>
        <w:jc w:val="both"/>
        <w:rPr>
          <w:rFonts w:ascii="Times New Roman" w:hAnsi="Times New Roman"/>
          <w:lang w:val="fr-FR"/>
        </w:rPr>
      </w:pPr>
      <w:r>
        <w:rPr>
          <w:rFonts w:ascii="Times New Roman" w:hAnsi="Times New Roman"/>
          <w:lang w:val="fr-FR"/>
        </w:rPr>
        <w:t>L’équipe de projet</w:t>
      </w:r>
      <w:r w:rsidR="00271385" w:rsidRPr="000B574F">
        <w:rPr>
          <w:rFonts w:ascii="Times New Roman" w:hAnsi="Times New Roman"/>
          <w:lang w:val="fr-FR"/>
        </w:rPr>
        <w:t xml:space="preserve"> examiner</w:t>
      </w:r>
      <w:r>
        <w:rPr>
          <w:rFonts w:ascii="Times New Roman" w:hAnsi="Times New Roman"/>
          <w:lang w:val="fr-FR"/>
        </w:rPr>
        <w:t>a</w:t>
      </w:r>
      <w:r w:rsidR="00271385" w:rsidRPr="000B574F">
        <w:rPr>
          <w:rFonts w:ascii="Times New Roman" w:hAnsi="Times New Roman"/>
          <w:lang w:val="fr-FR"/>
        </w:rPr>
        <w:t xml:space="preserve"> le</w:t>
      </w:r>
      <w:r>
        <w:rPr>
          <w:rFonts w:ascii="Times New Roman" w:hAnsi="Times New Roman"/>
          <w:lang w:val="fr-FR"/>
        </w:rPr>
        <w:t xml:space="preserve"> premier projet de</w:t>
      </w:r>
      <w:r w:rsidR="00271385" w:rsidRPr="000B574F">
        <w:rPr>
          <w:rFonts w:ascii="Times New Roman" w:hAnsi="Times New Roman"/>
          <w:lang w:val="fr-FR"/>
        </w:rPr>
        <w:t xml:space="preserve"> rapport </w:t>
      </w:r>
      <w:r>
        <w:rPr>
          <w:rFonts w:ascii="Times New Roman" w:hAnsi="Times New Roman"/>
          <w:lang w:val="fr-FR"/>
        </w:rPr>
        <w:t xml:space="preserve">et renverra ses observations </w:t>
      </w:r>
      <w:r w:rsidR="00271385" w:rsidRPr="000B574F">
        <w:rPr>
          <w:rFonts w:ascii="Times New Roman" w:hAnsi="Times New Roman"/>
          <w:lang w:val="fr-FR"/>
        </w:rPr>
        <w:t xml:space="preserve">au </w:t>
      </w:r>
      <w:r>
        <w:rPr>
          <w:rFonts w:ascii="Times New Roman" w:hAnsi="Times New Roman"/>
          <w:lang w:val="fr-FR"/>
        </w:rPr>
        <w:t>consultant</w:t>
      </w:r>
      <w:r w:rsidR="00271385" w:rsidRPr="000B574F">
        <w:rPr>
          <w:rFonts w:ascii="Times New Roman" w:hAnsi="Times New Roman"/>
          <w:lang w:val="fr-FR"/>
        </w:rPr>
        <w:t xml:space="preserve"> dans un délai maximum d'</w:t>
      </w:r>
      <w:r w:rsidR="00271385" w:rsidRPr="000B574F">
        <w:rPr>
          <w:rFonts w:ascii="Times New Roman" w:hAnsi="Times New Roman"/>
          <w:b/>
          <w:bCs/>
          <w:lang w:val="fr-FR"/>
        </w:rPr>
        <w:t xml:space="preserve">un mois à compter de la réception du </w:t>
      </w:r>
      <w:r w:rsidR="00271385" w:rsidRPr="000B574F">
        <w:rPr>
          <w:rFonts w:ascii="Times New Roman" w:hAnsi="Times New Roman"/>
          <w:lang w:val="fr-FR"/>
        </w:rPr>
        <w:t>premier projet de rapport ;</w:t>
      </w:r>
    </w:p>
    <w:p w14:paraId="61C45A37" w14:textId="42C4032C" w:rsidR="00B57F71" w:rsidRPr="000B574F" w:rsidRDefault="00E33770">
      <w:pPr>
        <w:numPr>
          <w:ilvl w:val="0"/>
          <w:numId w:val="9"/>
        </w:numPr>
        <w:spacing w:after="200" w:line="276" w:lineRule="auto"/>
        <w:contextualSpacing/>
        <w:jc w:val="both"/>
        <w:rPr>
          <w:rFonts w:ascii="Times New Roman" w:hAnsi="Times New Roman"/>
          <w:lang w:val="fr-FR"/>
        </w:rPr>
      </w:pPr>
      <w:r>
        <w:rPr>
          <w:rFonts w:ascii="Times New Roman" w:hAnsi="Times New Roman"/>
          <w:lang w:val="fr-FR"/>
        </w:rPr>
        <w:t>Un</w:t>
      </w:r>
      <w:r w:rsidR="00271385" w:rsidRPr="000B574F">
        <w:rPr>
          <w:rFonts w:ascii="Times New Roman" w:hAnsi="Times New Roman"/>
          <w:lang w:val="fr-FR"/>
        </w:rPr>
        <w:t xml:space="preserve"> </w:t>
      </w:r>
      <w:r>
        <w:rPr>
          <w:rFonts w:ascii="Times New Roman" w:hAnsi="Times New Roman"/>
          <w:lang w:val="fr-FR"/>
        </w:rPr>
        <w:t>second</w:t>
      </w:r>
      <w:r w:rsidR="00271385" w:rsidRPr="000B574F">
        <w:rPr>
          <w:rFonts w:ascii="Times New Roman" w:hAnsi="Times New Roman"/>
          <w:lang w:val="fr-FR"/>
        </w:rPr>
        <w:t xml:space="preserve"> projet de rapport </w:t>
      </w:r>
      <w:r w:rsidR="00A343AC">
        <w:rPr>
          <w:rFonts w:ascii="Times New Roman" w:hAnsi="Times New Roman"/>
          <w:lang w:val="fr-FR"/>
        </w:rPr>
        <w:t>sera</w:t>
      </w:r>
      <w:r w:rsidR="00271385" w:rsidRPr="000B574F">
        <w:rPr>
          <w:rFonts w:ascii="Times New Roman" w:hAnsi="Times New Roman"/>
          <w:lang w:val="fr-FR"/>
        </w:rPr>
        <w:t xml:space="preserve"> soumis </w:t>
      </w:r>
      <w:r w:rsidR="00A343AC">
        <w:rPr>
          <w:rFonts w:ascii="Times New Roman" w:hAnsi="Times New Roman"/>
          <w:lang w:val="fr-FR"/>
        </w:rPr>
        <w:t>au Secrétariat du GIABA</w:t>
      </w:r>
      <w:r w:rsidR="00271385" w:rsidRPr="000B574F">
        <w:rPr>
          <w:rFonts w:ascii="Times New Roman" w:hAnsi="Times New Roman"/>
          <w:lang w:val="fr-FR"/>
        </w:rPr>
        <w:t xml:space="preserve"> </w:t>
      </w:r>
      <w:r w:rsidR="00271385" w:rsidRPr="000B574F">
        <w:rPr>
          <w:rFonts w:ascii="Times New Roman" w:hAnsi="Times New Roman"/>
          <w:b/>
          <w:bCs/>
          <w:lang w:val="fr-FR"/>
        </w:rPr>
        <w:t xml:space="preserve">deux (02) semaines après </w:t>
      </w:r>
      <w:r w:rsidR="00271385" w:rsidRPr="000B574F">
        <w:rPr>
          <w:rFonts w:ascii="Times New Roman" w:hAnsi="Times New Roman"/>
          <w:lang w:val="fr-FR"/>
        </w:rPr>
        <w:t>réception des commentaires</w:t>
      </w:r>
      <w:r w:rsidR="00A343AC">
        <w:rPr>
          <w:rFonts w:ascii="Times New Roman" w:hAnsi="Times New Roman"/>
          <w:lang w:val="fr-FR"/>
        </w:rPr>
        <w:t xml:space="preserve"> de l’équipe de projet</w:t>
      </w:r>
      <w:r w:rsidR="00271385" w:rsidRPr="000B574F">
        <w:rPr>
          <w:rFonts w:ascii="Times New Roman" w:hAnsi="Times New Roman"/>
          <w:lang w:val="fr-FR"/>
        </w:rPr>
        <w:t xml:space="preserve">. </w:t>
      </w:r>
    </w:p>
    <w:bookmarkEnd w:id="1"/>
    <w:p w14:paraId="364F60B3" w14:textId="77777777" w:rsidR="002405B9" w:rsidRPr="000B574F" w:rsidRDefault="002405B9" w:rsidP="002405B9">
      <w:pPr>
        <w:spacing w:after="160" w:line="276" w:lineRule="auto"/>
        <w:jc w:val="both"/>
        <w:rPr>
          <w:rFonts w:ascii="Times New Roman" w:hAnsi="Times New Roman"/>
          <w:color w:val="000000"/>
          <w:lang w:val="fr-FR" w:eastAsia="en-GB"/>
        </w:rPr>
      </w:pPr>
    </w:p>
    <w:p w14:paraId="44C5CFF7" w14:textId="5A98B1E2" w:rsidR="00B57F71" w:rsidRPr="000B574F" w:rsidRDefault="00497727">
      <w:pPr>
        <w:pStyle w:val="Paragraphedeliste"/>
        <w:numPr>
          <w:ilvl w:val="0"/>
          <w:numId w:val="4"/>
        </w:numPr>
        <w:spacing w:line="276" w:lineRule="auto"/>
        <w:jc w:val="both"/>
        <w:rPr>
          <w:rFonts w:ascii="Times New Roman" w:hAnsi="Times New Roman" w:cs="Times New Roman"/>
          <w:color w:val="000000" w:themeColor="text1"/>
          <w:lang w:val="fr-FR"/>
        </w:rPr>
      </w:pPr>
      <w:r w:rsidRPr="000B574F">
        <w:rPr>
          <w:rFonts w:ascii="Times New Roman" w:hAnsi="Times New Roman" w:cs="Times New Roman"/>
          <w:color w:val="000000" w:themeColor="text1"/>
          <w:lang w:val="fr-FR"/>
        </w:rPr>
        <w:t xml:space="preserve">Les </w:t>
      </w:r>
      <w:r w:rsidR="000D5DC5">
        <w:rPr>
          <w:rFonts w:ascii="Times New Roman" w:hAnsi="Times New Roman" w:cs="Times New Roman"/>
          <w:color w:val="000000" w:themeColor="text1"/>
          <w:lang w:val="fr-FR"/>
        </w:rPr>
        <w:t>C</w:t>
      </w:r>
      <w:r w:rsidR="00271385" w:rsidRPr="000B574F">
        <w:rPr>
          <w:rFonts w:ascii="Times New Roman" w:hAnsi="Times New Roman" w:cs="Times New Roman"/>
          <w:color w:val="000000" w:themeColor="text1"/>
          <w:lang w:val="fr-FR"/>
        </w:rPr>
        <w:t xml:space="preserve">onsultants individuels </w:t>
      </w:r>
      <w:r w:rsidRPr="000B574F">
        <w:rPr>
          <w:rFonts w:ascii="Times New Roman" w:hAnsi="Times New Roman" w:cs="Times New Roman"/>
          <w:color w:val="000000" w:themeColor="text1"/>
          <w:lang w:val="fr-FR"/>
        </w:rPr>
        <w:t xml:space="preserve">sont invités à </w:t>
      </w:r>
      <w:r w:rsidR="00271385" w:rsidRPr="000B574F">
        <w:rPr>
          <w:rFonts w:ascii="Times New Roman" w:hAnsi="Times New Roman" w:cs="Times New Roman"/>
          <w:color w:val="000000" w:themeColor="text1"/>
          <w:lang w:val="fr-FR"/>
        </w:rPr>
        <w:t xml:space="preserve">manifester leur intérêt pour la prestation des services susmentionnés. Les </w:t>
      </w:r>
      <w:r w:rsidR="000D5DC5">
        <w:rPr>
          <w:rFonts w:ascii="Times New Roman" w:hAnsi="Times New Roman" w:cs="Times New Roman"/>
          <w:color w:val="000000" w:themeColor="text1"/>
          <w:lang w:val="fr-FR"/>
        </w:rPr>
        <w:t>C</w:t>
      </w:r>
      <w:r w:rsidR="00271385" w:rsidRPr="000B574F">
        <w:rPr>
          <w:rFonts w:ascii="Times New Roman" w:hAnsi="Times New Roman" w:cs="Times New Roman"/>
          <w:color w:val="000000" w:themeColor="text1"/>
          <w:lang w:val="fr-FR"/>
        </w:rPr>
        <w:t xml:space="preserve">onsultants intéressés doivent soumettre leur manifestation d'intérêt accompagnée de </w:t>
      </w:r>
      <w:r w:rsidRPr="000B574F">
        <w:rPr>
          <w:rFonts w:ascii="Times New Roman" w:hAnsi="Times New Roman" w:cs="Times New Roman"/>
          <w:color w:val="000000" w:themeColor="text1"/>
          <w:lang w:val="fr-FR"/>
        </w:rPr>
        <w:t xml:space="preserve">leur </w:t>
      </w:r>
      <w:r w:rsidR="00271385" w:rsidRPr="000B574F">
        <w:rPr>
          <w:rFonts w:ascii="Times New Roman" w:hAnsi="Times New Roman" w:cs="Times New Roman"/>
          <w:color w:val="000000" w:themeColor="text1"/>
          <w:lang w:val="fr-FR"/>
        </w:rPr>
        <w:t xml:space="preserve">curriculum vitae, indiquant qu'ils sont qualifiés pour exécuter les services. Les </w:t>
      </w:r>
      <w:r w:rsidR="006371D4" w:rsidRPr="000B574F">
        <w:rPr>
          <w:rFonts w:ascii="Times New Roman" w:hAnsi="Times New Roman" w:cs="Times New Roman"/>
          <w:color w:val="000000" w:themeColor="text1"/>
          <w:lang w:val="fr-FR"/>
        </w:rPr>
        <w:t xml:space="preserve">candidats </w:t>
      </w:r>
      <w:r w:rsidR="005174BF" w:rsidRPr="000B574F">
        <w:rPr>
          <w:rFonts w:ascii="Times New Roman" w:hAnsi="Times New Roman" w:cs="Times New Roman"/>
          <w:color w:val="000000" w:themeColor="text1"/>
          <w:lang w:val="fr-FR"/>
        </w:rPr>
        <w:t xml:space="preserve">doivent </w:t>
      </w:r>
      <w:r w:rsidR="006371D4" w:rsidRPr="000B574F">
        <w:rPr>
          <w:rFonts w:ascii="Times New Roman" w:hAnsi="Times New Roman" w:cs="Times New Roman"/>
          <w:color w:val="000000" w:themeColor="text1"/>
          <w:lang w:val="fr-FR"/>
        </w:rPr>
        <w:t xml:space="preserve">également </w:t>
      </w:r>
      <w:r w:rsidR="00090C39" w:rsidRPr="000B574F">
        <w:rPr>
          <w:rFonts w:ascii="Times New Roman" w:hAnsi="Times New Roman" w:cs="Times New Roman"/>
          <w:b/>
          <w:bCs/>
          <w:color w:val="000000" w:themeColor="text1"/>
          <w:lang w:val="fr-FR"/>
        </w:rPr>
        <w:t xml:space="preserve">soumettre une brève description </w:t>
      </w:r>
      <w:r w:rsidR="003D4F7B" w:rsidRPr="000B574F">
        <w:rPr>
          <w:rFonts w:ascii="Times New Roman" w:hAnsi="Times New Roman" w:cs="Times New Roman"/>
          <w:b/>
          <w:bCs/>
          <w:color w:val="000000" w:themeColor="text1"/>
          <w:lang w:val="fr-FR"/>
        </w:rPr>
        <w:t xml:space="preserve">(une page maximum) </w:t>
      </w:r>
      <w:r w:rsidR="00683DB4" w:rsidRPr="000B574F">
        <w:rPr>
          <w:rFonts w:ascii="Times New Roman" w:hAnsi="Times New Roman" w:cs="Times New Roman"/>
          <w:b/>
          <w:bCs/>
          <w:color w:val="000000" w:themeColor="text1"/>
          <w:lang w:val="fr-FR"/>
        </w:rPr>
        <w:t xml:space="preserve">de </w:t>
      </w:r>
      <w:r w:rsidR="006371D4" w:rsidRPr="000B574F">
        <w:rPr>
          <w:rFonts w:ascii="Times New Roman" w:hAnsi="Times New Roman" w:cs="Times New Roman"/>
          <w:b/>
          <w:bCs/>
          <w:color w:val="000000" w:themeColor="text1"/>
          <w:lang w:val="fr-FR"/>
        </w:rPr>
        <w:t xml:space="preserve">leur </w:t>
      </w:r>
      <w:r w:rsidR="00683DB4" w:rsidRPr="000B574F">
        <w:rPr>
          <w:rFonts w:ascii="Times New Roman" w:hAnsi="Times New Roman" w:cs="Times New Roman"/>
          <w:b/>
          <w:bCs/>
          <w:color w:val="000000" w:themeColor="text1"/>
          <w:lang w:val="fr-FR"/>
        </w:rPr>
        <w:t xml:space="preserve">compréhension de </w:t>
      </w:r>
      <w:r w:rsidR="005174BF" w:rsidRPr="000B574F">
        <w:rPr>
          <w:rFonts w:ascii="Times New Roman" w:hAnsi="Times New Roman" w:cs="Times New Roman"/>
          <w:b/>
          <w:bCs/>
          <w:color w:val="000000" w:themeColor="text1"/>
          <w:lang w:val="fr-FR"/>
        </w:rPr>
        <w:t xml:space="preserve">la </w:t>
      </w:r>
      <w:r w:rsidR="00FB594C" w:rsidRPr="000B574F">
        <w:rPr>
          <w:rFonts w:ascii="Times New Roman" w:hAnsi="Times New Roman" w:cs="Times New Roman"/>
          <w:b/>
          <w:bCs/>
          <w:color w:val="000000" w:themeColor="text1"/>
          <w:lang w:val="fr-FR"/>
        </w:rPr>
        <w:t xml:space="preserve">mission </w:t>
      </w:r>
      <w:r w:rsidR="005174BF" w:rsidRPr="000B574F">
        <w:rPr>
          <w:rFonts w:ascii="Times New Roman" w:hAnsi="Times New Roman" w:cs="Times New Roman"/>
          <w:b/>
          <w:bCs/>
          <w:color w:val="000000" w:themeColor="text1"/>
          <w:lang w:val="fr-FR"/>
        </w:rPr>
        <w:t xml:space="preserve">et de la manière dont ils </w:t>
      </w:r>
      <w:r w:rsidR="00A7577E" w:rsidRPr="000B574F">
        <w:rPr>
          <w:rFonts w:ascii="Times New Roman" w:hAnsi="Times New Roman" w:cs="Times New Roman"/>
          <w:b/>
          <w:bCs/>
          <w:color w:val="000000" w:themeColor="text1"/>
          <w:lang w:val="fr-FR"/>
        </w:rPr>
        <w:t xml:space="preserve">envisagent de </w:t>
      </w:r>
      <w:r w:rsidR="005174BF" w:rsidRPr="000B574F">
        <w:rPr>
          <w:rFonts w:ascii="Times New Roman" w:hAnsi="Times New Roman" w:cs="Times New Roman"/>
          <w:b/>
          <w:bCs/>
          <w:color w:val="000000" w:themeColor="text1"/>
          <w:lang w:val="fr-FR"/>
        </w:rPr>
        <w:t>l'accomplir</w:t>
      </w:r>
      <w:r w:rsidR="005174BF" w:rsidRPr="000B574F">
        <w:rPr>
          <w:rFonts w:ascii="Times New Roman" w:hAnsi="Times New Roman" w:cs="Times New Roman"/>
          <w:color w:val="000000" w:themeColor="text1"/>
          <w:lang w:val="fr-FR"/>
        </w:rPr>
        <w:t xml:space="preserve">. Ils sont également encouragés à </w:t>
      </w:r>
      <w:r w:rsidR="00271385" w:rsidRPr="000B574F">
        <w:rPr>
          <w:rFonts w:ascii="Times New Roman" w:hAnsi="Times New Roman" w:cs="Times New Roman"/>
          <w:color w:val="000000" w:themeColor="text1"/>
          <w:lang w:val="fr-FR"/>
        </w:rPr>
        <w:t xml:space="preserve">appuyer leur candidature par toute information </w:t>
      </w:r>
      <w:r w:rsidR="002F0A77">
        <w:rPr>
          <w:rFonts w:ascii="Times New Roman" w:hAnsi="Times New Roman" w:cs="Times New Roman"/>
          <w:color w:val="000000" w:themeColor="text1"/>
          <w:lang w:val="fr-FR"/>
        </w:rPr>
        <w:t>jugée</w:t>
      </w:r>
      <w:r w:rsidR="00D84FDA">
        <w:rPr>
          <w:rFonts w:ascii="Times New Roman" w:hAnsi="Times New Roman" w:cs="Times New Roman"/>
          <w:color w:val="000000" w:themeColor="text1"/>
          <w:lang w:val="fr-FR"/>
        </w:rPr>
        <w:t xml:space="preserve"> nécessaire </w:t>
      </w:r>
      <w:r w:rsidR="00271385" w:rsidRPr="000B574F">
        <w:rPr>
          <w:rFonts w:ascii="Times New Roman" w:hAnsi="Times New Roman" w:cs="Times New Roman"/>
          <w:color w:val="000000" w:themeColor="text1"/>
          <w:lang w:val="fr-FR"/>
        </w:rPr>
        <w:t xml:space="preserve">(brochures, description de missions similaires, expérience dans des contextes similaires, etc.)  </w:t>
      </w:r>
    </w:p>
    <w:p w14:paraId="3908467F" w14:textId="77777777" w:rsidR="00320C64" w:rsidRPr="000B574F" w:rsidRDefault="00320C64" w:rsidP="00320C64">
      <w:pPr>
        <w:pStyle w:val="Paragraphedeliste"/>
        <w:spacing w:line="276" w:lineRule="auto"/>
        <w:ind w:left="1065"/>
        <w:jc w:val="both"/>
        <w:rPr>
          <w:rFonts w:ascii="Times New Roman" w:hAnsi="Times New Roman"/>
          <w:color w:val="000000"/>
          <w:lang w:val="fr-FR" w:eastAsia="en-GB"/>
        </w:rPr>
      </w:pPr>
    </w:p>
    <w:p w14:paraId="73C8045A" w14:textId="31774211" w:rsidR="00B57F71" w:rsidRPr="000B574F" w:rsidRDefault="00271385">
      <w:pPr>
        <w:pStyle w:val="Paragraphedeliste"/>
        <w:numPr>
          <w:ilvl w:val="0"/>
          <w:numId w:val="4"/>
        </w:numPr>
        <w:spacing w:line="276" w:lineRule="auto"/>
        <w:jc w:val="both"/>
        <w:rPr>
          <w:rFonts w:ascii="Times New Roman" w:hAnsi="Times New Roman" w:cs="Times New Roman"/>
          <w:color w:val="000000" w:themeColor="text1"/>
          <w:lang w:val="fr-FR"/>
        </w:rPr>
      </w:pPr>
      <w:r w:rsidRPr="000B574F">
        <w:rPr>
          <w:rFonts w:ascii="Times New Roman" w:hAnsi="Times New Roman" w:cs="Times New Roman"/>
          <w:color w:val="000000" w:themeColor="text1"/>
          <w:lang w:val="fr-FR"/>
        </w:rPr>
        <w:t xml:space="preserve">Les consultants seront sélectionnés </w:t>
      </w:r>
      <w:r w:rsidR="000D5DC5">
        <w:rPr>
          <w:rFonts w:ascii="Times New Roman" w:hAnsi="Times New Roman" w:cs="Times New Roman"/>
          <w:color w:val="000000" w:themeColor="text1"/>
          <w:lang w:val="fr-FR"/>
        </w:rPr>
        <w:t>dans les conditions réglementaires prévues par le</w:t>
      </w:r>
      <w:r w:rsidR="002D2182" w:rsidRPr="000B574F">
        <w:rPr>
          <w:rFonts w:ascii="Times New Roman" w:hAnsi="Times New Roman" w:cs="Times New Roman"/>
          <w:color w:val="000000" w:themeColor="text1"/>
          <w:lang w:val="fr-FR"/>
        </w:rPr>
        <w:t xml:space="preserve"> </w:t>
      </w:r>
      <w:r w:rsidR="000D5DC5">
        <w:rPr>
          <w:rFonts w:ascii="Times New Roman" w:hAnsi="Times New Roman" w:cs="Times New Roman"/>
          <w:color w:val="000000" w:themeColor="text1"/>
          <w:lang w:val="fr-FR"/>
        </w:rPr>
        <w:t>C</w:t>
      </w:r>
      <w:r w:rsidR="002D2182" w:rsidRPr="000B574F">
        <w:rPr>
          <w:rFonts w:ascii="Times New Roman" w:hAnsi="Times New Roman" w:cs="Times New Roman"/>
          <w:color w:val="000000" w:themeColor="text1"/>
          <w:lang w:val="fr-FR"/>
        </w:rPr>
        <w:t>ode de</w:t>
      </w:r>
      <w:r w:rsidR="000D5DC5">
        <w:rPr>
          <w:rFonts w:ascii="Times New Roman" w:hAnsi="Times New Roman" w:cs="Times New Roman"/>
          <w:color w:val="000000" w:themeColor="text1"/>
          <w:lang w:val="fr-FR"/>
        </w:rPr>
        <w:t xml:space="preserve"> Passation des Marchés </w:t>
      </w:r>
      <w:r w:rsidR="002D2182" w:rsidRPr="000B574F">
        <w:rPr>
          <w:rFonts w:ascii="Times New Roman" w:hAnsi="Times New Roman" w:cs="Times New Roman"/>
          <w:color w:val="000000" w:themeColor="text1"/>
          <w:lang w:val="fr-FR"/>
        </w:rPr>
        <w:t>de la CEDEAO</w:t>
      </w:r>
      <w:r w:rsidRPr="000B574F">
        <w:rPr>
          <w:rFonts w:ascii="Times New Roman" w:hAnsi="Times New Roman" w:cs="Times New Roman"/>
          <w:color w:val="000000" w:themeColor="text1"/>
          <w:lang w:val="fr-FR"/>
        </w:rPr>
        <w:t xml:space="preserve">.  </w:t>
      </w:r>
      <w:r w:rsidRPr="000D5DC5">
        <w:rPr>
          <w:rFonts w:ascii="Times New Roman" w:hAnsi="Times New Roman" w:cs="Times New Roman"/>
          <w:b/>
          <w:bCs/>
          <w:color w:val="000000" w:themeColor="text1"/>
          <w:lang w:val="fr-FR"/>
        </w:rPr>
        <w:t xml:space="preserve">Une somme forfaitaire de </w:t>
      </w:r>
      <w:r w:rsidR="002B1674" w:rsidRPr="000D5DC5">
        <w:rPr>
          <w:rFonts w:ascii="Times New Roman" w:hAnsi="Times New Roman" w:cs="Times New Roman"/>
          <w:b/>
          <w:bCs/>
          <w:color w:val="000000" w:themeColor="text1"/>
          <w:lang w:val="fr-FR"/>
        </w:rPr>
        <w:t xml:space="preserve">cinq </w:t>
      </w:r>
      <w:r w:rsidRPr="000D5DC5">
        <w:rPr>
          <w:rFonts w:ascii="Times New Roman" w:hAnsi="Times New Roman" w:cs="Times New Roman"/>
          <w:b/>
          <w:bCs/>
          <w:color w:val="000000" w:themeColor="text1"/>
          <w:lang w:val="fr-FR"/>
        </w:rPr>
        <w:t>mille dollars US (</w:t>
      </w:r>
      <w:r w:rsidR="002B1674" w:rsidRPr="000D5DC5">
        <w:rPr>
          <w:rFonts w:ascii="Times New Roman" w:hAnsi="Times New Roman" w:cs="Times New Roman"/>
          <w:b/>
          <w:bCs/>
          <w:color w:val="000000" w:themeColor="text1"/>
          <w:lang w:val="fr-FR"/>
        </w:rPr>
        <w:t xml:space="preserve">5000 $) </w:t>
      </w:r>
      <w:r w:rsidRPr="000D5DC5">
        <w:rPr>
          <w:rFonts w:ascii="Times New Roman" w:hAnsi="Times New Roman" w:cs="Times New Roman"/>
          <w:b/>
          <w:bCs/>
          <w:color w:val="000000" w:themeColor="text1"/>
          <w:lang w:val="fr-FR"/>
        </w:rPr>
        <w:t xml:space="preserve">sera versée au </w:t>
      </w:r>
      <w:r w:rsidR="000D5DC5">
        <w:rPr>
          <w:rFonts w:ascii="Times New Roman" w:hAnsi="Times New Roman" w:cs="Times New Roman"/>
          <w:b/>
          <w:bCs/>
          <w:color w:val="000000" w:themeColor="text1"/>
          <w:lang w:val="fr-FR"/>
        </w:rPr>
        <w:t>C</w:t>
      </w:r>
      <w:r w:rsidRPr="000D5DC5">
        <w:rPr>
          <w:rFonts w:ascii="Times New Roman" w:hAnsi="Times New Roman" w:cs="Times New Roman"/>
          <w:b/>
          <w:bCs/>
          <w:color w:val="000000" w:themeColor="text1"/>
          <w:lang w:val="fr-FR"/>
        </w:rPr>
        <w:t>onsultant</w:t>
      </w:r>
      <w:r w:rsidRPr="000B574F">
        <w:rPr>
          <w:rFonts w:ascii="Times New Roman" w:hAnsi="Times New Roman" w:cs="Times New Roman"/>
          <w:color w:val="000000" w:themeColor="text1"/>
          <w:lang w:val="fr-FR"/>
        </w:rPr>
        <w:t xml:space="preserve">, sous réserve des termes d'un contrat mutuellement convenu.  </w:t>
      </w:r>
    </w:p>
    <w:p w14:paraId="4D7F8552" w14:textId="77777777" w:rsidR="00320C64" w:rsidRPr="000B574F" w:rsidRDefault="00320C64" w:rsidP="00320C64">
      <w:pPr>
        <w:spacing w:line="276" w:lineRule="auto"/>
        <w:jc w:val="both"/>
        <w:rPr>
          <w:rFonts w:ascii="Times New Roman" w:hAnsi="Times New Roman"/>
          <w:color w:val="000000"/>
          <w:lang w:val="fr-FR" w:eastAsia="en-GB"/>
        </w:rPr>
      </w:pPr>
    </w:p>
    <w:p w14:paraId="5B5BF7CA" w14:textId="0D846496" w:rsidR="00B57F71" w:rsidRPr="000B574F" w:rsidRDefault="00271385">
      <w:pPr>
        <w:pStyle w:val="Paragraphedeliste"/>
        <w:numPr>
          <w:ilvl w:val="0"/>
          <w:numId w:val="4"/>
        </w:numPr>
        <w:spacing w:after="160" w:line="276" w:lineRule="auto"/>
        <w:jc w:val="both"/>
        <w:rPr>
          <w:rFonts w:ascii="Times New Roman" w:hAnsi="Times New Roman"/>
          <w:color w:val="000000"/>
          <w:lang w:val="fr-FR" w:eastAsia="en-GB"/>
        </w:rPr>
      </w:pPr>
      <w:r w:rsidRPr="000B574F">
        <w:rPr>
          <w:rFonts w:ascii="Times New Roman" w:hAnsi="Times New Roman"/>
          <w:color w:val="000000"/>
          <w:lang w:val="fr-FR" w:eastAsia="en-GB"/>
        </w:rPr>
        <w:t xml:space="preserve">Les manifestations d'intérêt doivent être envoyées par courrier électronique à l'adresse ci-dessous avant le </w:t>
      </w:r>
      <w:r w:rsidR="009D5CD8">
        <w:rPr>
          <w:rFonts w:ascii="Times New Roman" w:hAnsi="Times New Roman"/>
          <w:b/>
          <w:color w:val="000000"/>
          <w:lang w:val="fr-FR" w:eastAsia="en-GB"/>
        </w:rPr>
        <w:t>jeudi</w:t>
      </w:r>
      <w:r w:rsidR="0025434B" w:rsidRPr="000B574F">
        <w:rPr>
          <w:rFonts w:ascii="Times New Roman" w:hAnsi="Times New Roman"/>
          <w:b/>
          <w:color w:val="000000"/>
          <w:lang w:val="fr-FR" w:eastAsia="en-GB"/>
        </w:rPr>
        <w:t xml:space="preserve"> 30 </w:t>
      </w:r>
      <w:r w:rsidR="009D5CD8">
        <w:rPr>
          <w:rFonts w:ascii="Times New Roman" w:hAnsi="Times New Roman"/>
          <w:b/>
          <w:color w:val="000000"/>
          <w:lang w:val="fr-FR" w:eastAsia="en-GB"/>
        </w:rPr>
        <w:t>septembre</w:t>
      </w:r>
      <w:r w:rsidR="0025434B" w:rsidRPr="000B574F">
        <w:rPr>
          <w:rFonts w:ascii="Times New Roman" w:hAnsi="Times New Roman"/>
          <w:b/>
          <w:color w:val="000000"/>
          <w:lang w:val="fr-FR" w:eastAsia="en-GB"/>
        </w:rPr>
        <w:t xml:space="preserve"> 2021 à </w:t>
      </w:r>
      <w:r w:rsidRPr="000B574F">
        <w:rPr>
          <w:rFonts w:ascii="Times New Roman" w:hAnsi="Times New Roman"/>
          <w:color w:val="000000"/>
          <w:lang w:val="fr-FR" w:eastAsia="en-GB"/>
        </w:rPr>
        <w:t xml:space="preserve">midi GMT, en indiquant clairement </w:t>
      </w:r>
      <w:r w:rsidR="00B77705">
        <w:rPr>
          <w:rFonts w:ascii="Times New Roman" w:hAnsi="Times New Roman"/>
          <w:color w:val="000000"/>
          <w:lang w:val="fr-FR" w:eastAsia="en-GB"/>
        </w:rPr>
        <w:t>l’intitulé de l’étude faisant objet de l</w:t>
      </w:r>
      <w:r w:rsidR="009F6168">
        <w:rPr>
          <w:rFonts w:ascii="Times New Roman" w:hAnsi="Times New Roman"/>
          <w:color w:val="000000"/>
          <w:lang w:val="fr-FR" w:eastAsia="en-GB"/>
        </w:rPr>
        <w:t>’offre</w:t>
      </w:r>
      <w:r w:rsidRPr="000B574F">
        <w:rPr>
          <w:rFonts w:ascii="Times New Roman" w:hAnsi="Times New Roman"/>
          <w:color w:val="000000"/>
          <w:lang w:val="fr-FR" w:eastAsia="en-GB"/>
        </w:rPr>
        <w:t>.</w:t>
      </w:r>
    </w:p>
    <w:p w14:paraId="7E6FEF5E" w14:textId="77777777" w:rsidR="00320C64" w:rsidRPr="000B574F" w:rsidRDefault="00320C64" w:rsidP="00320C64">
      <w:pPr>
        <w:pStyle w:val="Paragraphedeliste"/>
        <w:rPr>
          <w:rFonts w:ascii="Times New Roman" w:hAnsi="Times New Roman"/>
          <w:color w:val="000000"/>
          <w:lang w:val="fr-FR" w:eastAsia="en-GB"/>
        </w:rPr>
      </w:pPr>
    </w:p>
    <w:p w14:paraId="32FF125B" w14:textId="2B47E6D7" w:rsidR="00320C64" w:rsidRPr="000B574F" w:rsidRDefault="00320C64" w:rsidP="00320C64">
      <w:pPr>
        <w:spacing w:after="160" w:line="276" w:lineRule="auto"/>
        <w:jc w:val="both"/>
        <w:rPr>
          <w:rFonts w:ascii="Times New Roman" w:hAnsi="Times New Roman"/>
          <w:color w:val="000000"/>
          <w:lang w:val="fr-FR" w:eastAsia="en-GB"/>
        </w:rPr>
      </w:pPr>
    </w:p>
    <w:p w14:paraId="006F9ADB" w14:textId="77777777" w:rsidR="00320C64" w:rsidRPr="000B574F" w:rsidRDefault="00320C64" w:rsidP="00320C64">
      <w:pPr>
        <w:spacing w:after="160" w:line="276" w:lineRule="auto"/>
        <w:jc w:val="both"/>
        <w:rPr>
          <w:rFonts w:ascii="Times New Roman" w:hAnsi="Times New Roman"/>
          <w:color w:val="000000"/>
          <w:sz w:val="22"/>
          <w:szCs w:val="22"/>
          <w:lang w:val="fr-FR" w:eastAsia="en-GB"/>
        </w:rPr>
      </w:pPr>
    </w:p>
    <w:p w14:paraId="723DED67" w14:textId="5ED540D7" w:rsidR="00B57F71" w:rsidRPr="000B574F" w:rsidRDefault="00271385">
      <w:pPr>
        <w:pStyle w:val="Retraitcorpsdetexte"/>
        <w:jc w:val="center"/>
        <w:rPr>
          <w:rFonts w:ascii="Times New Roman" w:hAnsi="Times New Roman"/>
          <w:b/>
          <w:sz w:val="22"/>
          <w:szCs w:val="22"/>
          <w:lang w:val="fr-FR"/>
        </w:rPr>
      </w:pPr>
      <w:r w:rsidRPr="000B574F">
        <w:rPr>
          <w:rFonts w:ascii="Times New Roman" w:hAnsi="Times New Roman"/>
          <w:b/>
          <w:sz w:val="22"/>
          <w:szCs w:val="22"/>
          <w:lang w:val="fr-FR"/>
        </w:rPr>
        <w:t xml:space="preserve">Le </w:t>
      </w:r>
      <w:r w:rsidR="006A4B5F">
        <w:rPr>
          <w:rFonts w:ascii="Times New Roman" w:hAnsi="Times New Roman"/>
          <w:b/>
          <w:sz w:val="22"/>
          <w:szCs w:val="22"/>
          <w:lang w:val="fr-FR"/>
        </w:rPr>
        <w:t>D</w:t>
      </w:r>
      <w:r w:rsidRPr="000B574F">
        <w:rPr>
          <w:rFonts w:ascii="Times New Roman" w:hAnsi="Times New Roman"/>
          <w:b/>
          <w:sz w:val="22"/>
          <w:szCs w:val="22"/>
          <w:lang w:val="fr-FR"/>
        </w:rPr>
        <w:t>irecteur général</w:t>
      </w:r>
    </w:p>
    <w:p w14:paraId="4CC96D45" w14:textId="77777777" w:rsidR="00B57F71" w:rsidRPr="006A4B5F" w:rsidRDefault="00271385">
      <w:pPr>
        <w:tabs>
          <w:tab w:val="left" w:pos="-720"/>
        </w:tabs>
        <w:suppressAutoHyphens/>
        <w:spacing w:line="360" w:lineRule="auto"/>
        <w:jc w:val="center"/>
        <w:rPr>
          <w:rFonts w:ascii="Times New Roman" w:hAnsi="Times New Roman"/>
          <w:b/>
          <w:bCs/>
          <w:color w:val="4472C4" w:themeColor="accent1"/>
          <w:spacing w:val="-3"/>
          <w:sz w:val="22"/>
          <w:szCs w:val="22"/>
          <w:lang w:val="fr-FR"/>
        </w:rPr>
      </w:pPr>
      <w:r w:rsidRPr="006A4B5F">
        <w:rPr>
          <w:rFonts w:ascii="Times New Roman" w:hAnsi="Times New Roman"/>
          <w:b/>
          <w:bCs/>
          <w:color w:val="4472C4" w:themeColor="accent1"/>
          <w:spacing w:val="-3"/>
          <w:sz w:val="22"/>
          <w:szCs w:val="22"/>
          <w:lang w:val="fr-FR"/>
        </w:rPr>
        <w:t>Groupe Intergouvernemental d'Action contre le Blanchiment d'Argent en Afrique de l'Ouest (GIABA)</w:t>
      </w:r>
    </w:p>
    <w:p w14:paraId="6671DCC9" w14:textId="77777777" w:rsidR="00B57F71" w:rsidRPr="006A4B5F" w:rsidRDefault="00271385">
      <w:pPr>
        <w:tabs>
          <w:tab w:val="left" w:pos="-720"/>
        </w:tabs>
        <w:suppressAutoHyphens/>
        <w:spacing w:line="360" w:lineRule="auto"/>
        <w:jc w:val="center"/>
        <w:rPr>
          <w:rFonts w:ascii="Times New Roman" w:hAnsi="Times New Roman"/>
          <w:b/>
          <w:bCs/>
          <w:color w:val="4472C4" w:themeColor="accent1"/>
          <w:spacing w:val="-3"/>
          <w:sz w:val="22"/>
          <w:szCs w:val="22"/>
          <w:lang w:val="fr-FR"/>
        </w:rPr>
      </w:pPr>
      <w:r w:rsidRPr="006A4B5F">
        <w:rPr>
          <w:rFonts w:ascii="Times New Roman" w:hAnsi="Times New Roman"/>
          <w:b/>
          <w:bCs/>
          <w:color w:val="4472C4" w:themeColor="accent1"/>
          <w:spacing w:val="-3"/>
          <w:sz w:val="22"/>
          <w:szCs w:val="22"/>
          <w:lang w:val="fr-FR"/>
        </w:rPr>
        <w:t xml:space="preserve">Complexe SICAP, Point E, </w:t>
      </w:r>
      <w:r w:rsidRPr="006A4B5F">
        <w:rPr>
          <w:rFonts w:ascii="Times New Roman" w:hAnsi="Times New Roman"/>
          <w:b/>
          <w:bCs/>
          <w:color w:val="4472C4" w:themeColor="accent1"/>
          <w:spacing w:val="-3"/>
          <w:sz w:val="22"/>
          <w:szCs w:val="22"/>
          <w:vertAlign w:val="superscript"/>
          <w:lang w:val="fr-FR"/>
        </w:rPr>
        <w:t xml:space="preserve">1er </w:t>
      </w:r>
      <w:r w:rsidRPr="006A4B5F">
        <w:rPr>
          <w:rFonts w:ascii="Times New Roman" w:hAnsi="Times New Roman"/>
          <w:b/>
          <w:bCs/>
          <w:color w:val="4472C4" w:themeColor="accent1"/>
          <w:spacing w:val="-3"/>
          <w:sz w:val="22"/>
          <w:szCs w:val="22"/>
          <w:lang w:val="fr-FR"/>
        </w:rPr>
        <w:t>Etage, Immeuble A</w:t>
      </w:r>
    </w:p>
    <w:p w14:paraId="392FFA5D" w14:textId="77777777" w:rsidR="00B57F71" w:rsidRPr="006A4B5F" w:rsidRDefault="00271385">
      <w:pPr>
        <w:tabs>
          <w:tab w:val="left" w:pos="-720"/>
        </w:tabs>
        <w:suppressAutoHyphens/>
        <w:spacing w:line="360" w:lineRule="auto"/>
        <w:jc w:val="center"/>
        <w:rPr>
          <w:rFonts w:ascii="Times New Roman" w:hAnsi="Times New Roman"/>
          <w:b/>
          <w:bCs/>
          <w:color w:val="4472C4" w:themeColor="accent1"/>
          <w:spacing w:val="-3"/>
          <w:sz w:val="22"/>
          <w:szCs w:val="22"/>
        </w:rPr>
      </w:pPr>
      <w:r w:rsidRPr="006A4B5F">
        <w:rPr>
          <w:rFonts w:ascii="Times New Roman" w:hAnsi="Times New Roman"/>
          <w:b/>
          <w:bCs/>
          <w:color w:val="4472C4" w:themeColor="accent1"/>
          <w:spacing w:val="-3"/>
          <w:sz w:val="22"/>
          <w:szCs w:val="22"/>
        </w:rPr>
        <w:t>Av. Cheikh Anta Diop x Canal IV, BP 32400</w:t>
      </w:r>
    </w:p>
    <w:p w14:paraId="00A4987B" w14:textId="77777777" w:rsidR="00B57F71" w:rsidRPr="006A4B5F" w:rsidRDefault="00271385">
      <w:pPr>
        <w:tabs>
          <w:tab w:val="left" w:pos="-720"/>
        </w:tabs>
        <w:suppressAutoHyphens/>
        <w:spacing w:line="360" w:lineRule="auto"/>
        <w:jc w:val="center"/>
        <w:rPr>
          <w:rFonts w:ascii="Times New Roman" w:hAnsi="Times New Roman"/>
          <w:b/>
          <w:bCs/>
          <w:color w:val="4472C4" w:themeColor="accent1"/>
          <w:spacing w:val="-3"/>
          <w:sz w:val="22"/>
          <w:szCs w:val="22"/>
          <w:lang w:val="fr-FR"/>
        </w:rPr>
      </w:pPr>
      <w:r w:rsidRPr="006A4B5F">
        <w:rPr>
          <w:rFonts w:ascii="Times New Roman" w:hAnsi="Times New Roman"/>
          <w:b/>
          <w:bCs/>
          <w:color w:val="4472C4" w:themeColor="accent1"/>
          <w:spacing w:val="-3"/>
          <w:sz w:val="22"/>
          <w:szCs w:val="22"/>
          <w:lang w:val="fr-FR"/>
        </w:rPr>
        <w:lastRenderedPageBreak/>
        <w:t>Dakar, Sénégal</w:t>
      </w:r>
    </w:p>
    <w:p w14:paraId="457A603B" w14:textId="77777777" w:rsidR="00B57F71" w:rsidRPr="000B574F" w:rsidRDefault="00271385">
      <w:pPr>
        <w:tabs>
          <w:tab w:val="left" w:pos="-720"/>
        </w:tabs>
        <w:suppressAutoHyphens/>
        <w:spacing w:line="360" w:lineRule="auto"/>
        <w:jc w:val="center"/>
        <w:rPr>
          <w:rFonts w:ascii="Times New Roman" w:hAnsi="Times New Roman"/>
          <w:spacing w:val="-3"/>
          <w:sz w:val="22"/>
          <w:szCs w:val="22"/>
          <w:lang w:val="fr-FR"/>
        </w:rPr>
      </w:pPr>
      <w:r w:rsidRPr="000B574F">
        <w:rPr>
          <w:rFonts w:ascii="Times New Roman" w:hAnsi="Times New Roman"/>
          <w:spacing w:val="-3"/>
          <w:sz w:val="22"/>
          <w:szCs w:val="22"/>
          <w:lang w:val="fr-FR"/>
        </w:rPr>
        <w:t>Tél : +221 33 859 1818 Ext 838</w:t>
      </w:r>
    </w:p>
    <w:p w14:paraId="02CA7E19" w14:textId="77777777" w:rsidR="00B57F71" w:rsidRPr="000B574F" w:rsidRDefault="00271385">
      <w:pPr>
        <w:tabs>
          <w:tab w:val="left" w:pos="-720"/>
        </w:tabs>
        <w:suppressAutoHyphens/>
        <w:spacing w:line="360" w:lineRule="auto"/>
        <w:jc w:val="center"/>
        <w:rPr>
          <w:rFonts w:ascii="Times New Roman" w:hAnsi="Times New Roman"/>
          <w:spacing w:val="-3"/>
          <w:sz w:val="22"/>
          <w:szCs w:val="22"/>
          <w:lang w:val="fr-FR"/>
        </w:rPr>
      </w:pPr>
      <w:r w:rsidRPr="000B574F">
        <w:rPr>
          <w:rFonts w:ascii="Times New Roman" w:hAnsi="Times New Roman"/>
          <w:spacing w:val="-3"/>
          <w:sz w:val="22"/>
          <w:szCs w:val="22"/>
          <w:lang w:val="fr-FR"/>
        </w:rPr>
        <w:t>Fax : +221 338241745</w:t>
      </w:r>
    </w:p>
    <w:p w14:paraId="2D5428AD" w14:textId="77777777" w:rsidR="00B57F71" w:rsidRPr="000B574F" w:rsidRDefault="00271385">
      <w:pPr>
        <w:tabs>
          <w:tab w:val="left" w:pos="-720"/>
        </w:tabs>
        <w:suppressAutoHyphens/>
        <w:spacing w:line="360" w:lineRule="auto"/>
        <w:jc w:val="center"/>
        <w:rPr>
          <w:sz w:val="22"/>
          <w:szCs w:val="22"/>
          <w:lang w:val="fr-FR"/>
        </w:rPr>
      </w:pPr>
      <w:r w:rsidRPr="000B574F">
        <w:rPr>
          <w:rFonts w:ascii="Times New Roman" w:hAnsi="Times New Roman"/>
          <w:spacing w:val="-3"/>
          <w:sz w:val="22"/>
          <w:szCs w:val="22"/>
          <w:lang w:val="fr-FR"/>
        </w:rPr>
        <w:t xml:space="preserve">Courriel : </w:t>
      </w:r>
      <w:hyperlink r:id="rId11" w:history="1">
        <w:r w:rsidRPr="000B574F">
          <w:rPr>
            <w:rStyle w:val="Lienhypertexte"/>
            <w:rFonts w:ascii="Times New Roman" w:hAnsi="Times New Roman"/>
            <w:sz w:val="22"/>
            <w:szCs w:val="22"/>
            <w:lang w:val="fr-FR"/>
          </w:rPr>
          <w:t xml:space="preserve">secretariat@giaba.org </w:t>
        </w:r>
      </w:hyperlink>
      <w:r w:rsidRPr="000B574F">
        <w:rPr>
          <w:rFonts w:ascii="Times New Roman" w:hAnsi="Times New Roman"/>
          <w:spacing w:val="-3"/>
          <w:sz w:val="22"/>
          <w:szCs w:val="22"/>
          <w:lang w:val="fr-FR"/>
        </w:rPr>
        <w:t xml:space="preserve">ou </w:t>
      </w:r>
      <w:hyperlink r:id="rId12" w:history="1">
        <w:r w:rsidRPr="000B574F">
          <w:rPr>
            <w:rStyle w:val="Lienhypertexte"/>
            <w:rFonts w:ascii="Times New Roman" w:hAnsi="Times New Roman"/>
            <w:sz w:val="22"/>
            <w:szCs w:val="22"/>
            <w:lang w:val="fr-FR"/>
          </w:rPr>
          <w:t>procurement@giaba.org</w:t>
        </w:r>
      </w:hyperlink>
    </w:p>
    <w:p w14:paraId="5BADE32D" w14:textId="38F11E2C" w:rsidR="00D81947" w:rsidRPr="000B574F" w:rsidRDefault="00D81947" w:rsidP="00692381">
      <w:pPr>
        <w:spacing w:line="360" w:lineRule="auto"/>
        <w:jc w:val="both"/>
        <w:rPr>
          <w:rFonts w:ascii="Times New Roman" w:hAnsi="Times New Roman" w:cs="Times New Roman"/>
          <w:b/>
          <w:bCs/>
          <w:lang w:val="fr-FR"/>
        </w:rPr>
      </w:pPr>
    </w:p>
    <w:p w14:paraId="5EB5D996" w14:textId="77777777" w:rsidR="004C5A73" w:rsidRPr="000B574F" w:rsidRDefault="004C5A73" w:rsidP="00692381">
      <w:pPr>
        <w:spacing w:line="360" w:lineRule="auto"/>
        <w:jc w:val="both"/>
        <w:rPr>
          <w:rFonts w:ascii="Times New Roman" w:hAnsi="Times New Roman" w:cs="Times New Roman"/>
          <w:lang w:val="fr-FR"/>
        </w:rPr>
      </w:pPr>
    </w:p>
    <w:p w14:paraId="39B49105" w14:textId="77777777" w:rsidR="005A58BB" w:rsidRPr="000B574F" w:rsidRDefault="005A58BB" w:rsidP="00692381">
      <w:pPr>
        <w:pStyle w:val="Paragraphedeliste"/>
        <w:spacing w:line="360" w:lineRule="auto"/>
        <w:jc w:val="both"/>
        <w:rPr>
          <w:rFonts w:ascii="Times New Roman" w:hAnsi="Times New Roman" w:cs="Times New Roman"/>
          <w:lang w:val="fr-FR"/>
        </w:rPr>
      </w:pPr>
    </w:p>
    <w:p w14:paraId="10A9330B" w14:textId="77777777" w:rsidR="00B57F71" w:rsidRDefault="00271385">
      <w:pPr>
        <w:spacing w:line="360" w:lineRule="auto"/>
        <w:jc w:val="center"/>
        <w:rPr>
          <w:rFonts w:ascii="Times New Roman" w:hAnsi="Times New Roman" w:cs="Times New Roman"/>
        </w:rPr>
      </w:pPr>
      <w:r w:rsidRPr="00692381">
        <w:rPr>
          <w:rFonts w:ascii="Times New Roman" w:hAnsi="Times New Roman" w:cs="Times New Roman"/>
        </w:rPr>
        <w:t>*******</w:t>
      </w:r>
    </w:p>
    <w:sectPr w:rsidR="00B57F71" w:rsidSect="00B3009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6B97" w14:textId="77777777" w:rsidR="00E779B5" w:rsidRDefault="00E779B5" w:rsidP="004C5A73">
      <w:r>
        <w:separator/>
      </w:r>
    </w:p>
  </w:endnote>
  <w:endnote w:type="continuationSeparator" w:id="0">
    <w:p w14:paraId="431E3F3C" w14:textId="77777777" w:rsidR="00E779B5" w:rsidRDefault="00E779B5" w:rsidP="004C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6136" w14:textId="77777777" w:rsidR="00E779B5" w:rsidRDefault="00E779B5" w:rsidP="004C5A73">
      <w:r>
        <w:separator/>
      </w:r>
    </w:p>
  </w:footnote>
  <w:footnote w:type="continuationSeparator" w:id="0">
    <w:p w14:paraId="4137D322" w14:textId="77777777" w:rsidR="00E779B5" w:rsidRDefault="00E779B5" w:rsidP="004C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F2"/>
    <w:multiLevelType w:val="hybridMultilevel"/>
    <w:tmpl w:val="E04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F76E2"/>
    <w:multiLevelType w:val="hybridMultilevel"/>
    <w:tmpl w:val="3D787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9062EB"/>
    <w:multiLevelType w:val="hybridMultilevel"/>
    <w:tmpl w:val="9FB68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D52A0"/>
    <w:multiLevelType w:val="hybridMultilevel"/>
    <w:tmpl w:val="F93C0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B0619C"/>
    <w:multiLevelType w:val="multilevel"/>
    <w:tmpl w:val="17B0619C"/>
    <w:lvl w:ilvl="0">
      <w:start w:val="1"/>
      <w:numFmt w:val="decimal"/>
      <w:pStyle w:val="Titre2"/>
      <w:lvlText w:val="%1"/>
      <w:lvlJc w:val="left"/>
      <w:pPr>
        <w:tabs>
          <w:tab w:val="left" w:pos="567"/>
        </w:tabs>
        <w:ind w:left="567" w:hanging="567"/>
      </w:pPr>
      <w:rPr>
        <w:rFonts w:cs="Times New Roman" w:hint="default"/>
      </w:rPr>
    </w:lvl>
    <w:lvl w:ilvl="1">
      <w:start w:val="1"/>
      <w:numFmt w:val="decimal"/>
      <w:pStyle w:val="pprag2-notoc"/>
      <w:lvlText w:val="%1.%2."/>
      <w:lvlJc w:val="left"/>
      <w:pPr>
        <w:tabs>
          <w:tab w:val="left" w:pos="17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rPr>
    </w:lvl>
    <w:lvl w:ilvl="2">
      <w:start w:val="1"/>
      <w:numFmt w:val="decimal"/>
      <w:pStyle w:val="Heading4a"/>
      <w:lvlText w:val="%3."/>
      <w:lvlJc w:val="left"/>
      <w:pPr>
        <w:tabs>
          <w:tab w:val="left" w:pos="2534"/>
        </w:tabs>
      </w:pPr>
      <w:rPr>
        <w:rFonts w:ascii="Times New Roman" w:eastAsia="Times New Roman" w:hAnsi="Times New Roman" w:cs="Times New Roman"/>
        <w:b/>
      </w:rPr>
    </w:lvl>
    <w:lvl w:ilvl="3">
      <w:start w:val="1"/>
      <w:numFmt w:val="decimal"/>
      <w:lvlText w:val="%1.%2.%3.%4."/>
      <w:lvlJc w:val="left"/>
      <w:pPr>
        <w:tabs>
          <w:tab w:val="left" w:pos="2880"/>
        </w:tabs>
      </w:pPr>
      <w:rPr>
        <w:rFonts w:cs="Times New Roman" w:hint="default"/>
        <w:b/>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360"/>
        </w:tabs>
        <w:ind w:left="360" w:hanging="360"/>
      </w:pPr>
      <w:rPr>
        <w:rFonts w:cs="Times New Roman" w:hint="default"/>
        <w:b w:val="0"/>
      </w:rPr>
    </w:lvl>
    <w:lvl w:ilvl="8">
      <w:start w:val="1"/>
      <w:numFmt w:val="lowerRoman"/>
      <w:lvlText w:val="%9."/>
      <w:lvlJc w:val="left"/>
      <w:pPr>
        <w:tabs>
          <w:tab w:val="left" w:pos="3240"/>
        </w:tabs>
        <w:ind w:left="3240" w:hanging="360"/>
      </w:pPr>
      <w:rPr>
        <w:rFonts w:cs="Times New Roman" w:hint="default"/>
      </w:rPr>
    </w:lvl>
  </w:abstractNum>
  <w:abstractNum w:abstractNumId="5" w15:restartNumberingAfterBreak="0">
    <w:nsid w:val="3284365F"/>
    <w:multiLevelType w:val="hybridMultilevel"/>
    <w:tmpl w:val="CFD83D52"/>
    <w:lvl w:ilvl="0" w:tplc="7AEE99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A46735"/>
    <w:multiLevelType w:val="hybridMultilevel"/>
    <w:tmpl w:val="4D808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3D4292"/>
    <w:multiLevelType w:val="hybridMultilevel"/>
    <w:tmpl w:val="21200BE8"/>
    <w:lvl w:ilvl="0" w:tplc="EF5079B2">
      <w:start w:val="3"/>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8E91870"/>
    <w:multiLevelType w:val="hybridMultilevel"/>
    <w:tmpl w:val="3630299E"/>
    <w:lvl w:ilvl="0" w:tplc="EF507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E2E4B"/>
    <w:multiLevelType w:val="hybridMultilevel"/>
    <w:tmpl w:val="7140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40E0E"/>
    <w:multiLevelType w:val="hybridMultilevel"/>
    <w:tmpl w:val="E78A3996"/>
    <w:lvl w:ilvl="0" w:tplc="EF5079B2">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3B4B17"/>
    <w:multiLevelType w:val="hybridMultilevel"/>
    <w:tmpl w:val="185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3748B"/>
    <w:multiLevelType w:val="hybridMultilevel"/>
    <w:tmpl w:val="AAFC387E"/>
    <w:lvl w:ilvl="0" w:tplc="040C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11"/>
  </w:num>
  <w:num w:numId="4">
    <w:abstractNumId w:val="3"/>
  </w:num>
  <w:num w:numId="5">
    <w:abstractNumId w:val="2"/>
  </w:num>
  <w:num w:numId="6">
    <w:abstractNumId w:val="12"/>
  </w:num>
  <w:num w:numId="7">
    <w:abstractNumId w:val="7"/>
  </w:num>
  <w:num w:numId="8">
    <w:abstractNumId w:val="9"/>
  </w:num>
  <w:num w:numId="9">
    <w:abstractNumId w:val="10"/>
  </w:num>
  <w:num w:numId="10">
    <w:abstractNumId w:val="4"/>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44"/>
    <w:rsid w:val="00090C39"/>
    <w:rsid w:val="00096F68"/>
    <w:rsid w:val="000A1B59"/>
    <w:rsid w:val="000B574F"/>
    <w:rsid w:val="000D5DC5"/>
    <w:rsid w:val="000E665F"/>
    <w:rsid w:val="000F2190"/>
    <w:rsid w:val="000F7C3E"/>
    <w:rsid w:val="0012032C"/>
    <w:rsid w:val="00141683"/>
    <w:rsid w:val="00173552"/>
    <w:rsid w:val="00176FF1"/>
    <w:rsid w:val="001D04FD"/>
    <w:rsid w:val="001E2FBC"/>
    <w:rsid w:val="00202214"/>
    <w:rsid w:val="00205864"/>
    <w:rsid w:val="00210B26"/>
    <w:rsid w:val="002405B9"/>
    <w:rsid w:val="0024346D"/>
    <w:rsid w:val="0025434B"/>
    <w:rsid w:val="00271385"/>
    <w:rsid w:val="00273F48"/>
    <w:rsid w:val="002762B0"/>
    <w:rsid w:val="00283C32"/>
    <w:rsid w:val="00285162"/>
    <w:rsid w:val="002A5352"/>
    <w:rsid w:val="002B109B"/>
    <w:rsid w:val="002B1674"/>
    <w:rsid w:val="002D2182"/>
    <w:rsid w:val="002F0A77"/>
    <w:rsid w:val="002F4780"/>
    <w:rsid w:val="00320C64"/>
    <w:rsid w:val="00320ED5"/>
    <w:rsid w:val="0035397F"/>
    <w:rsid w:val="0039214F"/>
    <w:rsid w:val="003B3302"/>
    <w:rsid w:val="003B4973"/>
    <w:rsid w:val="003C2413"/>
    <w:rsid w:val="003D4175"/>
    <w:rsid w:val="003D4F7B"/>
    <w:rsid w:val="00416C31"/>
    <w:rsid w:val="00457134"/>
    <w:rsid w:val="004669D3"/>
    <w:rsid w:val="00497727"/>
    <w:rsid w:val="004B21FE"/>
    <w:rsid w:val="004C5A73"/>
    <w:rsid w:val="004D468C"/>
    <w:rsid w:val="004D6AE1"/>
    <w:rsid w:val="004F692D"/>
    <w:rsid w:val="004F7977"/>
    <w:rsid w:val="005174BF"/>
    <w:rsid w:val="0057419E"/>
    <w:rsid w:val="005A55BF"/>
    <w:rsid w:val="005A58BB"/>
    <w:rsid w:val="005F4B62"/>
    <w:rsid w:val="00612C18"/>
    <w:rsid w:val="006371D4"/>
    <w:rsid w:val="00650270"/>
    <w:rsid w:val="006740FB"/>
    <w:rsid w:val="00683DB4"/>
    <w:rsid w:val="00692381"/>
    <w:rsid w:val="006A4B5F"/>
    <w:rsid w:val="006B74D9"/>
    <w:rsid w:val="006C1E31"/>
    <w:rsid w:val="00703FF6"/>
    <w:rsid w:val="00721F7D"/>
    <w:rsid w:val="00755AA0"/>
    <w:rsid w:val="00777311"/>
    <w:rsid w:val="007B100E"/>
    <w:rsid w:val="007B546F"/>
    <w:rsid w:val="007B6DBA"/>
    <w:rsid w:val="007C0663"/>
    <w:rsid w:val="007E3F53"/>
    <w:rsid w:val="00807B4A"/>
    <w:rsid w:val="0082500F"/>
    <w:rsid w:val="00826E3A"/>
    <w:rsid w:val="00872C14"/>
    <w:rsid w:val="0088153E"/>
    <w:rsid w:val="008E333B"/>
    <w:rsid w:val="00916B14"/>
    <w:rsid w:val="00962704"/>
    <w:rsid w:val="0098036D"/>
    <w:rsid w:val="00983D0D"/>
    <w:rsid w:val="00985604"/>
    <w:rsid w:val="009919FC"/>
    <w:rsid w:val="009924DF"/>
    <w:rsid w:val="009A03F3"/>
    <w:rsid w:val="009A3A08"/>
    <w:rsid w:val="009D5CD8"/>
    <w:rsid w:val="009E0B43"/>
    <w:rsid w:val="009F6168"/>
    <w:rsid w:val="00A158C8"/>
    <w:rsid w:val="00A17A0F"/>
    <w:rsid w:val="00A343AC"/>
    <w:rsid w:val="00A7577E"/>
    <w:rsid w:val="00A86C5D"/>
    <w:rsid w:val="00AA5A27"/>
    <w:rsid w:val="00AB1F13"/>
    <w:rsid w:val="00AE2424"/>
    <w:rsid w:val="00B21D00"/>
    <w:rsid w:val="00B3009F"/>
    <w:rsid w:val="00B57F71"/>
    <w:rsid w:val="00B77705"/>
    <w:rsid w:val="00B84E44"/>
    <w:rsid w:val="00B933BD"/>
    <w:rsid w:val="00BB0FAB"/>
    <w:rsid w:val="00BF13D0"/>
    <w:rsid w:val="00C00F9E"/>
    <w:rsid w:val="00C3163C"/>
    <w:rsid w:val="00C40277"/>
    <w:rsid w:val="00C4413E"/>
    <w:rsid w:val="00C955B7"/>
    <w:rsid w:val="00CA1AB4"/>
    <w:rsid w:val="00CF1389"/>
    <w:rsid w:val="00CF6027"/>
    <w:rsid w:val="00D631FB"/>
    <w:rsid w:val="00D6354F"/>
    <w:rsid w:val="00D65260"/>
    <w:rsid w:val="00D81947"/>
    <w:rsid w:val="00D84FDA"/>
    <w:rsid w:val="00DD693B"/>
    <w:rsid w:val="00E01BD3"/>
    <w:rsid w:val="00E11F5D"/>
    <w:rsid w:val="00E33770"/>
    <w:rsid w:val="00E42946"/>
    <w:rsid w:val="00E779B5"/>
    <w:rsid w:val="00E84960"/>
    <w:rsid w:val="00EA204B"/>
    <w:rsid w:val="00EC5A47"/>
    <w:rsid w:val="00EC7CC2"/>
    <w:rsid w:val="00F250F6"/>
    <w:rsid w:val="00F46580"/>
    <w:rsid w:val="00FB3736"/>
    <w:rsid w:val="00FB594C"/>
    <w:rsid w:val="00FF5698"/>
    <w:rsid w:val="00FF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32D3"/>
  <w15:chartTrackingRefBased/>
  <w15:docId w15:val="{B9FEAB73-F938-6841-B2D3-CAA02402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qFormat/>
    <w:rsid w:val="00A86C5D"/>
    <w:pPr>
      <w:numPr>
        <w:numId w:val="10"/>
      </w:numPr>
      <w:spacing w:before="120" w:line="276" w:lineRule="auto"/>
      <w:outlineLvl w:val="1"/>
    </w:pPr>
    <w:rPr>
      <w:rFonts w:ascii="Times New Roman" w:eastAsia="Times New Roman" w:hAnsi="Times New Roman" w:cs="Times New Roman"/>
      <w:b/>
      <w:spacing w:val="20"/>
      <w:sz w:val="28"/>
      <w:szCs w:val="20"/>
      <w:lang w:val="fr-FR"/>
    </w:rPr>
  </w:style>
  <w:style w:type="paragraph" w:styleId="Titre3">
    <w:name w:val="heading 3"/>
    <w:basedOn w:val="Normal"/>
    <w:next w:val="Normal"/>
    <w:link w:val="Titre3Car"/>
    <w:uiPriority w:val="9"/>
    <w:semiHidden/>
    <w:unhideWhenUsed/>
    <w:qFormat/>
    <w:rsid w:val="00A86C5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A86C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4FD"/>
    <w:pPr>
      <w:ind w:left="720"/>
      <w:contextualSpacing/>
    </w:pPr>
  </w:style>
  <w:style w:type="paragraph" w:styleId="Notedebasdepage">
    <w:name w:val="footnote text"/>
    <w:basedOn w:val="Normal"/>
    <w:link w:val="NotedebasdepageCar"/>
    <w:uiPriority w:val="99"/>
    <w:unhideWhenUsed/>
    <w:qFormat/>
    <w:rsid w:val="004C5A73"/>
    <w:rPr>
      <w:sz w:val="20"/>
      <w:szCs w:val="20"/>
    </w:rPr>
  </w:style>
  <w:style w:type="character" w:customStyle="1" w:styleId="NotedebasdepageCar">
    <w:name w:val="Note de bas de page Car"/>
    <w:basedOn w:val="Policepardfaut"/>
    <w:link w:val="Notedebasdepage"/>
    <w:uiPriority w:val="99"/>
    <w:qFormat/>
    <w:rsid w:val="004C5A73"/>
    <w:rPr>
      <w:sz w:val="20"/>
      <w:szCs w:val="20"/>
    </w:rPr>
  </w:style>
  <w:style w:type="character" w:styleId="Appelnotedebasdep">
    <w:name w:val="footnote reference"/>
    <w:basedOn w:val="Policepardfaut"/>
    <w:link w:val="Char2"/>
    <w:uiPriority w:val="99"/>
    <w:unhideWhenUsed/>
    <w:qFormat/>
    <w:rsid w:val="004C5A73"/>
    <w:rPr>
      <w:vertAlign w:val="superscript"/>
    </w:rPr>
  </w:style>
  <w:style w:type="table" w:styleId="Grilledutableau">
    <w:name w:val="Table Grid"/>
    <w:basedOn w:val="TableauNormal"/>
    <w:uiPriority w:val="39"/>
    <w:rsid w:val="0027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uiPriority w:val="99"/>
    <w:qFormat/>
    <w:rsid w:val="00320ED5"/>
    <w:pPr>
      <w:spacing w:after="160" w:line="240" w:lineRule="exact"/>
    </w:pPr>
    <w:rPr>
      <w:vertAlign w:val="superscript"/>
    </w:rPr>
  </w:style>
  <w:style w:type="character" w:styleId="Lienhypertexte">
    <w:name w:val="Hyperlink"/>
    <w:basedOn w:val="Policepardfaut"/>
    <w:uiPriority w:val="99"/>
    <w:unhideWhenUsed/>
    <w:rsid w:val="00D65260"/>
    <w:rPr>
      <w:color w:val="0563C1" w:themeColor="hyperlink"/>
      <w:u w:val="single"/>
    </w:rPr>
  </w:style>
  <w:style w:type="character" w:styleId="Mentionnonrsolue">
    <w:name w:val="Unresolved Mention"/>
    <w:basedOn w:val="Policepardfaut"/>
    <w:uiPriority w:val="99"/>
    <w:semiHidden/>
    <w:unhideWhenUsed/>
    <w:rsid w:val="00D65260"/>
    <w:rPr>
      <w:color w:val="605E5C"/>
      <w:shd w:val="clear" w:color="auto" w:fill="E1DFDD"/>
    </w:rPr>
  </w:style>
  <w:style w:type="character" w:customStyle="1" w:styleId="Titre2Car">
    <w:name w:val="Titre 2 Car"/>
    <w:basedOn w:val="Policepardfaut"/>
    <w:link w:val="Titre2"/>
    <w:uiPriority w:val="9"/>
    <w:rsid w:val="00A86C5D"/>
    <w:rPr>
      <w:rFonts w:ascii="Times New Roman" w:eastAsia="Times New Roman" w:hAnsi="Times New Roman" w:cs="Times New Roman"/>
      <w:b/>
      <w:spacing w:val="20"/>
      <w:sz w:val="28"/>
      <w:szCs w:val="20"/>
      <w:lang w:val="fr-FR"/>
    </w:rPr>
  </w:style>
  <w:style w:type="paragraph" w:customStyle="1" w:styleId="pprag2-notoc">
    <w:name w:val="pprag2 - no toc"/>
    <w:basedOn w:val="Titre3"/>
    <w:qFormat/>
    <w:rsid w:val="00A86C5D"/>
    <w:pPr>
      <w:keepLines w:val="0"/>
      <w:numPr>
        <w:ilvl w:val="1"/>
        <w:numId w:val="10"/>
      </w:numPr>
      <w:tabs>
        <w:tab w:val="clear" w:pos="170"/>
        <w:tab w:val="left" w:pos="1440"/>
      </w:tabs>
      <w:spacing w:before="0" w:after="60" w:line="360" w:lineRule="auto"/>
      <w:ind w:left="1440" w:hanging="360"/>
    </w:pPr>
    <w:rPr>
      <w:rFonts w:ascii="Times New Roman" w:eastAsia="Times New Roman" w:hAnsi="Times New Roman" w:cs="Times New Roman"/>
      <w:b/>
      <w:bCs/>
      <w:color w:val="auto"/>
      <w:szCs w:val="26"/>
      <w:lang w:eastAsia="en-GB"/>
    </w:rPr>
  </w:style>
  <w:style w:type="paragraph" w:customStyle="1" w:styleId="Heading4a">
    <w:name w:val="Heading 4a"/>
    <w:basedOn w:val="Titre4"/>
    <w:link w:val="Heading4aChar"/>
    <w:qFormat/>
    <w:rsid w:val="00A86C5D"/>
    <w:pPr>
      <w:keepLines w:val="0"/>
      <w:numPr>
        <w:ilvl w:val="2"/>
        <w:numId w:val="10"/>
      </w:numPr>
      <w:spacing w:before="0" w:after="60" w:line="360" w:lineRule="auto"/>
      <w:jc w:val="both"/>
    </w:pPr>
    <w:rPr>
      <w:rFonts w:ascii="Times New Roman" w:eastAsia="Times New Roman" w:hAnsi="Times New Roman" w:cs="Times New Roman"/>
      <w:b/>
      <w:i w:val="0"/>
      <w:iCs w:val="0"/>
      <w:color w:val="auto"/>
      <w:szCs w:val="26"/>
      <w:lang w:eastAsia="en-GB"/>
    </w:rPr>
  </w:style>
  <w:style w:type="character" w:customStyle="1" w:styleId="Heading4aChar">
    <w:name w:val="Heading 4a Char"/>
    <w:basedOn w:val="Policepardfaut"/>
    <w:link w:val="Heading4a"/>
    <w:locked/>
    <w:rsid w:val="00A86C5D"/>
    <w:rPr>
      <w:rFonts w:ascii="Times New Roman" w:eastAsia="Times New Roman" w:hAnsi="Times New Roman" w:cs="Times New Roman"/>
      <w:b/>
      <w:szCs w:val="26"/>
      <w:lang w:eastAsia="en-GB"/>
    </w:rPr>
  </w:style>
  <w:style w:type="character" w:customStyle="1" w:styleId="Titre3Car">
    <w:name w:val="Titre 3 Car"/>
    <w:basedOn w:val="Policepardfaut"/>
    <w:link w:val="Titre3"/>
    <w:uiPriority w:val="9"/>
    <w:semiHidden/>
    <w:rsid w:val="00A86C5D"/>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A86C5D"/>
    <w:rPr>
      <w:rFonts w:asciiTheme="majorHAnsi" w:eastAsiaTheme="majorEastAsia" w:hAnsiTheme="majorHAnsi" w:cstheme="majorBidi"/>
      <w:i/>
      <w:iCs/>
      <w:color w:val="2F5496" w:themeColor="accent1" w:themeShade="BF"/>
    </w:rPr>
  </w:style>
  <w:style w:type="paragraph" w:styleId="Retraitcorpsdetexte">
    <w:name w:val="Body Text Indent"/>
    <w:basedOn w:val="Normal"/>
    <w:link w:val="RetraitcorpsdetexteCar"/>
    <w:rsid w:val="00320C64"/>
    <w:pPr>
      <w:widowControl w:val="0"/>
      <w:tabs>
        <w:tab w:val="left" w:pos="-720"/>
        <w:tab w:val="left" w:pos="0"/>
        <w:tab w:val="left" w:pos="720"/>
      </w:tabs>
      <w:suppressAutoHyphens/>
      <w:autoSpaceDE w:val="0"/>
      <w:autoSpaceDN w:val="0"/>
      <w:jc w:val="both"/>
    </w:pPr>
    <w:rPr>
      <w:rFonts w:ascii="CG Times" w:eastAsia="Times New Roman" w:hAnsi="CG Times" w:cs="Times New Roman"/>
      <w:spacing w:val="-3"/>
      <w:sz w:val="20"/>
      <w:lang w:val="en-US"/>
    </w:rPr>
  </w:style>
  <w:style w:type="character" w:customStyle="1" w:styleId="RetraitcorpsdetexteCar">
    <w:name w:val="Retrait corps de texte Car"/>
    <w:basedOn w:val="Policepardfaut"/>
    <w:link w:val="Retraitcorpsdetexte"/>
    <w:rsid w:val="00320C64"/>
    <w:rPr>
      <w:rFonts w:ascii="CG Times" w:eastAsia="Times New Roman" w:hAnsi="CG Times" w:cs="Times New Roman"/>
      <w:spacing w:val="-3"/>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giab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giaba.org"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858B-07C0-5D4D-8670-967573E7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6699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klein</dc:creator>
  <cp:keywords/>
  <dc:description/>
  <cp:lastModifiedBy>Idrissa Ouattara</cp:lastModifiedBy>
  <cp:revision>3</cp:revision>
  <dcterms:created xsi:type="dcterms:W3CDTF">2021-08-01T20:42:00Z</dcterms:created>
  <dcterms:modified xsi:type="dcterms:W3CDTF">2021-09-01T18:07:00Z</dcterms:modified>
</cp:coreProperties>
</file>